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346506.xml.htm"/>
      <w:bookmarkStart w:id="1" w:name="kswkform4_17733465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Howell Laura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AKAMAI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145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AKAMAI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03"/>
        <w:gridCol w:w="454"/>
        <w:gridCol w:w="841"/>
        <w:gridCol w:w="1195"/>
        <w:gridCol w:w="997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16,235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106.47</w:t>
            </w:r>
            <w:r>
              <w:rPr/>
              <w:t xml:space="preserve"> 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16,140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153.223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the right to receive one share of Akamai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of March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September 12, 2023, the Reporting Person was granted 3,845 RSUs. Such RSUs vest over three years as follows: 1/3 on the first anniversary of the date of grant with the remaining 2/3 vesting in equal installments of 8-1/3% each quarter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M. Lair, as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203" TargetMode="External"/><Relationship Id="rId5" Type="http://schemas.openxmlformats.org/officeDocument/2006/relationships/hyperlink" Target="http://www.sec.gov/cgi-bin/browse-edgar?action=getcompany&amp;CIK=00010862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666</Words>
  <Characters>3542</Characters>
  <CharactersWithSpaces>4124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