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7707791.xml.htm"/>
      <w:bookmarkStart w:id="1" w:name="kswkform4_17577077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Howell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21,206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21,111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109.646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 one share of Akamai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September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12, 2023, Ms. Howell was granted 3,845 RSUs. Such RSUs vest over three years as follows: 1/3 on the first anniversary of the date of grant with the remaining 2/3 vesting in equal installments of 8-1/3% each quarter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203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3537</Characters>
  <CharactersWithSpaces>4118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