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7" w:lineRule="exact"/>
        <w:rPr>
          <w:sz w:val="24"/>
          <w:szCs w:val="24"/>
          <w:color w:val="auto"/>
        </w:rPr>
      </w:pPr>
    </w:p>
    <w:p>
      <w:pPr>
        <w:ind w:left="560" w:hanging="430"/>
        <w:spacing w:after="0"/>
        <w:tabs>
          <w:tab w:leader="none" w:pos="5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or</w:t>
      </w:r>
    </w:p>
    <w:p>
      <w:pPr>
        <w:spacing w:after="0" w:line="116" w:lineRule="exact"/>
        <w:rPr>
          <w:sz w:val="24"/>
          <w:szCs w:val="24"/>
          <w:color w:val="auto"/>
        </w:rPr>
      </w:pPr>
    </w:p>
    <w:p>
      <w:pPr>
        <w:ind w:left="560" w:hanging="430"/>
        <w:spacing w:after="0"/>
        <w:tabs>
          <w:tab w:leader="none" w:pos="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0-27275</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5"/>
          <w:szCs w:val="35"/>
          <w:b w:val="1"/>
          <w:bCs w:val="1"/>
          <w:color w:val="auto"/>
        </w:rPr>
        <w:t>Akamai Technologies, Inc.</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160"/>
          </w:cols>
          <w:pgMar w:left="320" w:top="227" w:right="419" w:bottom="0" w:gutter="0" w:footer="0" w:header="0"/>
        </w:sectPr>
      </w:pPr>
    </w:p>
    <w:p>
      <w:pPr>
        <w:spacing w:after="0" w:line="13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04-3432319</w:t>
      </w:r>
    </w:p>
    <w:p>
      <w:pPr>
        <w:spacing w:after="0" w:line="28" w:lineRule="exact"/>
        <w:rPr>
          <w:sz w:val="24"/>
          <w:szCs w:val="24"/>
          <w:color w:val="auto"/>
        </w:rPr>
      </w:pPr>
    </w:p>
    <w:p>
      <w:pPr>
        <w:sectPr>
          <w:pgSz w:w="11900" w:h="16838" w:orient="portrait"/>
          <w:cols w:equalWidth="0" w:num="2">
            <w:col w:w="8460" w:space="720"/>
            <w:col w:w="1980"/>
          </w:cols>
          <w:pgMar w:left="320" w:top="227" w:right="419" w:bottom="0" w:gutter="0" w:footer="0" w:header="0"/>
          <w:type w:val="continuous"/>
        </w:sectPr>
      </w:pPr>
    </w:p>
    <w:p>
      <w:pPr>
        <w:jc w:val="center"/>
        <w:ind w:right="45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p>
      <w:pPr>
        <w:jc w:val="center"/>
        <w:ind w:right="4520"/>
        <w:spacing w:after="0"/>
        <w:rPr>
          <w:sz w:val="20"/>
          <w:szCs w:val="20"/>
          <w:color w:val="auto"/>
        </w:rPr>
      </w:pPr>
      <w:r>
        <w:rPr>
          <w:rFonts w:ascii="Times New Roman" w:cs="Times New Roman" w:eastAsia="Times New Roman" w:hAnsi="Times New Roman"/>
          <w:sz w:val="14"/>
          <w:szCs w:val="14"/>
          <w:b w:val="1"/>
          <w:b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351" w:lineRule="exact"/>
        <w:rPr>
          <w:sz w:val="24"/>
          <w:szCs w:val="24"/>
          <w:color w:val="auto"/>
        </w:rPr>
      </w:pPr>
    </w:p>
    <w:p>
      <w:pPr>
        <w:sectPr>
          <w:pgSz w:w="11900" w:h="16838" w:orient="portrait"/>
          <w:cols w:equalWidth="0" w:num="2">
            <w:col w:w="7800" w:space="720"/>
            <w:col w:w="2640"/>
          </w:cols>
          <w:pgMar w:left="320" w:top="227" w:right="419" w:bottom="0" w:gutter="0" w:footer="0" w:header="0"/>
          <w:type w:val="continuous"/>
        </w:sectPr>
      </w:pPr>
    </w:p>
    <w:p>
      <w:pPr>
        <w:spacing w:after="0" w:line="1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145 Broadway</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Cambridge, Massachusetts 02142</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principle executive offices) (Zip Code)</w:t>
      </w:r>
    </w:p>
    <w:p>
      <w:pPr>
        <w:sectPr>
          <w:pgSz w:w="11900" w:h="16838" w:orient="portrait"/>
          <w:cols w:equalWidth="0" w:num="1">
            <w:col w:w="11160"/>
          </w:cols>
          <w:pgMar w:left="320" w:top="227" w:right="419" w:bottom="0" w:gutter="0" w:footer="0" w:header="0"/>
          <w:type w:val="continuous"/>
        </w:sectPr>
      </w:pP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444-3000</w:t>
      </w:r>
    </w:p>
    <w:p>
      <w:pPr>
        <w:spacing w:after="0" w:line="2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jc w:val="center"/>
              <w:ind w:left="1376"/>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200" w:type="dxa"/>
            <w:vAlign w:val="bottom"/>
          </w:tcPr>
          <w:p>
            <w:pPr>
              <w:spacing w:after="0"/>
              <w:rPr>
                <w:sz w:val="18"/>
                <w:szCs w:val="18"/>
                <w:color w:val="auto"/>
              </w:rPr>
            </w:pP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520" w:type="dxa"/>
            <w:vAlign w:val="bottom"/>
            <w:gridSpan w:val="4"/>
          </w:tcPr>
          <w:p>
            <w:pPr>
              <w:jc w:val="center"/>
              <w:ind w:left="501"/>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305"/>
        </w:trPr>
        <w:tc>
          <w:tcPr>
            <w:tcW w:w="4260" w:type="dxa"/>
            <w:vAlign w:val="bottom"/>
            <w:gridSpan w:val="2"/>
          </w:tcPr>
          <w:p>
            <w:pPr>
              <w:jc w:val="center"/>
              <w:ind w:left="176"/>
              <w:spacing w:after="0"/>
              <w:rPr>
                <w:sz w:val="20"/>
                <w:szCs w:val="20"/>
                <w:color w:val="auto"/>
              </w:rPr>
            </w:pPr>
            <w:r>
              <w:rPr>
                <w:rFonts w:ascii="Times New Roman" w:cs="Times New Roman" w:eastAsia="Times New Roman" w:hAnsi="Times New Roman"/>
                <w:sz w:val="16"/>
                <w:szCs w:val="16"/>
                <w:color w:val="auto"/>
                <w:w w:val="99"/>
              </w:rPr>
              <w:t>Common Stock - par value $0.01 per share</w:t>
            </w:r>
          </w:p>
        </w:tc>
        <w:tc>
          <w:tcPr>
            <w:tcW w:w="246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auto"/>
              </w:rPr>
              <w:t>AKAM</w:t>
            </w:r>
          </w:p>
        </w:tc>
        <w:tc>
          <w:tcPr>
            <w:tcW w:w="3520" w:type="dxa"/>
            <w:vAlign w:val="bottom"/>
            <w:gridSpan w:val="4"/>
            <w:vMerge w:val="restart"/>
          </w:tcPr>
          <w:p>
            <w:pPr>
              <w:jc w:val="center"/>
              <w:ind w:left="501"/>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r>
        <w:trPr>
          <w:trHeight w:val="80"/>
        </w:trPr>
        <w:tc>
          <w:tcPr>
            <w:tcW w:w="3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35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9"/>
        </w:trPr>
        <w:tc>
          <w:tcPr>
            <w:tcW w:w="3060" w:type="dxa"/>
            <w:vAlign w:val="bottom"/>
          </w:tcPr>
          <w:p>
            <w:pPr>
              <w:spacing w:after="0"/>
              <w:rPr>
                <w:sz w:val="24"/>
                <w:szCs w:val="24"/>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5"/>
              </w:rPr>
              <w:t>Yes</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0"/>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38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ind w:right="48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5" w:lineRule="exact"/>
        <w:rPr>
          <w:sz w:val="24"/>
          <w:szCs w:val="24"/>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220" w:type="dxa"/>
        <w:tblCellMar>
          <w:top w:w="0" w:type="dxa"/>
          <w:left w:w="0" w:type="dxa"/>
          <w:bottom w:w="0" w:type="dxa"/>
          <w:right w:w="0" w:type="dxa"/>
        </w:tblCellMar>
      </w:tblPr>
      <w:tr>
        <w:trPr>
          <w:trHeight w:val="417"/>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80" w:type="dxa"/>
            <w:vAlign w:val="bottom"/>
          </w:tcPr>
          <w:p>
            <w:pPr>
              <w:ind w:left="120"/>
              <w:spacing w:after="0" w:line="251" w:lineRule="exact"/>
              <w:rPr>
                <w:sz w:val="20"/>
                <w:szCs w:val="20"/>
                <w:color w:val="auto"/>
              </w:rPr>
            </w:pPr>
            <w:r>
              <w:rPr>
                <w:rFonts w:ascii="MS PGothic" w:cs="MS PGothic" w:eastAsia="MS PGothic" w:hAnsi="MS PGothic"/>
                <w:sz w:val="25"/>
                <w:szCs w:val="25"/>
                <w:color w:val="auto"/>
              </w:rPr>
              <w:t>☑</w:t>
            </w:r>
          </w:p>
        </w:tc>
        <w:tc>
          <w:tcPr>
            <w:tcW w:w="1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1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Non-accelerated filer</w:t>
            </w:r>
          </w:p>
        </w:tc>
        <w:tc>
          <w:tcPr>
            <w:tcW w:w="440" w:type="dxa"/>
            <w:vAlign w:val="bottom"/>
          </w:tcPr>
          <w:p>
            <w:pPr>
              <w:ind w:left="140"/>
              <w:spacing w:after="0" w:line="251" w:lineRule="exact"/>
              <w:rPr>
                <w:sz w:val="20"/>
                <w:szCs w:val="20"/>
                <w:color w:val="auto"/>
              </w:rPr>
            </w:pPr>
            <w:r>
              <w:rPr>
                <w:rFonts w:ascii="MS PGothic" w:cs="MS PGothic" w:eastAsia="MS PGothic" w:hAnsi="MS PGothic"/>
                <w:sz w:val="25"/>
                <w:szCs w:val="25"/>
                <w:color w:val="auto"/>
              </w:rPr>
              <w:t>☐</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Emerging growth company</w:t>
            </w:r>
          </w:p>
        </w:tc>
        <w:tc>
          <w:tcPr>
            <w:tcW w:w="260" w:type="dxa"/>
            <w:vAlign w:val="bottom"/>
          </w:tcPr>
          <w:p>
            <w:pPr>
              <w:ind w:left="40"/>
              <w:spacing w:after="0" w:line="251" w:lineRule="exact"/>
              <w:rPr>
                <w:sz w:val="20"/>
                <w:szCs w:val="20"/>
                <w:color w:val="auto"/>
              </w:rPr>
            </w:pPr>
            <w:r>
              <w:rPr>
                <w:rFonts w:ascii="MS PGothic" w:cs="MS PGothic" w:eastAsia="MS PGothic" w:hAnsi="MS PGothic"/>
                <w:sz w:val="25"/>
                <w:szCs w:val="25"/>
                <w:color w:val="auto"/>
                <w:w w:val="79"/>
              </w:rPr>
              <w:t>☐</w:t>
            </w:r>
          </w:p>
        </w:tc>
        <w:tc>
          <w:tcPr>
            <w:tcW w:w="0" w:type="dxa"/>
            <w:vAlign w:val="bottom"/>
          </w:tcPr>
          <w:p>
            <w:pPr>
              <w:spacing w:after="0"/>
              <w:rPr>
                <w:sz w:val="1"/>
                <w:szCs w:val="1"/>
                <w:color w:val="auto"/>
              </w:rPr>
            </w:pPr>
          </w:p>
        </w:tc>
      </w:tr>
      <w:tr>
        <w:trPr>
          <w:trHeight w:val="53"/>
        </w:trPr>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18" w:lineRule="exact"/>
        <w:rPr>
          <w:sz w:val="24"/>
          <w:szCs w:val="24"/>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its internal control over financial reporting under Section 404(b) of the Sarbanes-Oxley Act (15 U.S.C.</w:t>
      </w:r>
    </w:p>
    <w:p>
      <w:pPr>
        <w:spacing w:after="0" w:line="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9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ectPr>
          <w:pgSz w:w="11900" w:h="16838" w:orient="portrait"/>
          <w:cols w:equalWidth="0" w:num="1">
            <w:col w:w="11160"/>
          </w:cols>
          <w:pgMar w:left="320" w:top="227" w:right="419" w:bottom="0" w:gutter="0" w:footer="0" w:header="0"/>
          <w:type w:val="continuous"/>
        </w:sectPr>
      </w:pPr>
    </w:p>
    <w:bookmarkStart w:id="1" w:name="page2"/>
    <w:bookmarkEnd w:id="1"/>
    <w:p>
      <w:pPr>
        <w:spacing w:after="0" w:line="242" w:lineRule="exact"/>
        <w:tabs>
          <w:tab w:leader="none" w:pos="7480" w:val="left"/>
          <w:tab w:leader="none" w:pos="81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was approximately $13,428.8 million based on the last reported sale price of the Common Stock on the Nasdaq Global Select Market on June 28, 2024. For the purposes of this disclosure only, the registrant has assumed that its directors and executive officers (as defined in Rule 3b-7 under the Exchange Act) are the affiliates of the registrant.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par value $0.01 per share, as of February 20, 2025: 150,317,536 shares.</w:t>
      </w:r>
    </w:p>
    <w:p>
      <w:pPr>
        <w:spacing w:after="0" w:line="2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6"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Securities and Exchange Commission relative to the registrant’s 2025 Annual Meeting of Stockholders are incorporated by reference into Items 10, 11, 12, 13 and 14 of Part III of this annual report on Form 10-K.</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Auditor name:</w:t>
            </w: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PricewaterhouseCoopers LLP</w:t>
            </w: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Auditor location:</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Boston, Massachusetts</w:t>
            </w:r>
          </w:p>
        </w:tc>
        <w:tc>
          <w:tcPr>
            <w:tcW w:w="26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PCAOB ID:</w:t>
            </w:r>
          </w:p>
        </w:tc>
      </w:tr>
      <w:tr>
        <w:trPr>
          <w:trHeight w:val="231"/>
        </w:trPr>
        <w:tc>
          <w:tcPr>
            <w:tcW w:w="1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928"/>
        </w:trPr>
        <w:tc>
          <w:tcPr>
            <w:tcW w:w="1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78"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6"/>
        </w:trPr>
        <w:tc>
          <w:tcPr>
            <w:tcW w:w="2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10"/>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AKAMAI TECHNOLOGIES, INC.</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10"/>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00" w:type="dxa"/>
            <w:vAlign w:val="bottom"/>
            <w:gridSpan w:val="12"/>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6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0"/>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80" w:type="dxa"/>
            <w:vAlign w:val="bottom"/>
            <w:gridSpan w:val="22"/>
          </w:tcPr>
          <w:p>
            <w:pPr>
              <w:spacing w:after="0"/>
              <w:rPr>
                <w:sz w:val="24"/>
                <w:szCs w:val="24"/>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Risk Factors</w:t>
            </w:r>
          </w:p>
        </w:tc>
        <w:tc>
          <w:tcPr>
            <w:tcW w:w="8020" w:type="dxa"/>
            <w:vAlign w:val="bottom"/>
            <w:gridSpan w:val="19"/>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6900" w:type="dxa"/>
            <w:vAlign w:val="bottom"/>
            <w:gridSpan w:val="12"/>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6"/>
              </w:rPr>
              <w:t>Cybersecurity</w:t>
            </w:r>
          </w:p>
        </w:tc>
        <w:tc>
          <w:tcPr>
            <w:tcW w:w="7920" w:type="dxa"/>
            <w:vAlign w:val="bottom"/>
            <w:gridSpan w:val="18"/>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5"/>
              </w:rPr>
              <w:t>Properties</w:t>
            </w:r>
          </w:p>
        </w:tc>
        <w:tc>
          <w:tcPr>
            <w:tcW w:w="8200" w:type="dxa"/>
            <w:vAlign w:val="bottom"/>
            <w:gridSpan w:val="21"/>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7600" w:type="dxa"/>
            <w:vAlign w:val="bottom"/>
            <w:gridSpan w:val="16"/>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892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11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r>
      <w:tr>
        <w:trPr>
          <w:trHeight w:val="498"/>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top w:val="single" w:sz="8" w:color="0000FF"/>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6"/>
              </w:rPr>
              <w:t>[Reserved]</w:t>
            </w:r>
          </w:p>
        </w:tc>
        <w:tc>
          <w:tcPr>
            <w:tcW w:w="7140" w:type="dxa"/>
            <w:vAlign w:val="bottom"/>
            <w:tcBorders>
              <w:top w:val="single" w:sz="8" w:color="0000FF"/>
            </w:tcBorders>
            <w:gridSpan w:val="19"/>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892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4280" w:type="dxa"/>
            <w:vAlign w:val="bottom"/>
            <w:tcBorders>
              <w:top w:val="single" w:sz="8" w:color="0000FF"/>
              <w:bottom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60" w:type="dxa"/>
            <w:vAlign w:val="bottom"/>
            <w:tcBorders>
              <w:top w:val="single" w:sz="8" w:color="0000FF"/>
            </w:tcBorders>
            <w:gridSpan w:val="3"/>
          </w:tcPr>
          <w:p>
            <w:pPr>
              <w:spacing w:after="0"/>
              <w:rPr>
                <w:sz w:val="17"/>
                <w:szCs w:val="17"/>
                <w:color w:val="auto"/>
              </w:rPr>
            </w:pPr>
          </w:p>
        </w:tc>
        <w:tc>
          <w:tcPr>
            <w:tcW w:w="258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402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0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71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76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718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130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7620" w:type="dxa"/>
            <w:vAlign w:val="bottom"/>
            <w:gridSpan w:val="17"/>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91</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892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7"/>
                <w:szCs w:val="17"/>
                <w:color w:val="auto"/>
              </w:rPr>
            </w:pPr>
          </w:p>
        </w:tc>
      </w:tr>
      <w:tr>
        <w:trPr>
          <w:trHeight w:val="524"/>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8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1780" w:type="dxa"/>
            <w:vAlign w:val="bottom"/>
            <w:tcBorders>
              <w:top w:val="single" w:sz="8" w:color="0000FF"/>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Executive Compensation</w:t>
            </w:r>
          </w:p>
        </w:tc>
        <w:tc>
          <w:tcPr>
            <w:tcW w:w="2240" w:type="dxa"/>
            <w:vAlign w:val="bottom"/>
            <w:tcBorders>
              <w:top w:val="single" w:sz="8" w:color="0000FF"/>
            </w:tcBorders>
            <w:gridSpan w:val="5"/>
          </w:tcPr>
          <w:p>
            <w:pPr>
              <w:spacing w:after="0"/>
              <w:rPr>
                <w:sz w:val="17"/>
                <w:szCs w:val="17"/>
                <w:color w:val="auto"/>
              </w:rPr>
            </w:pPr>
          </w:p>
        </w:tc>
        <w:tc>
          <w:tcPr>
            <w:tcW w:w="490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91</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71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76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91</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8920" w:type="dxa"/>
            <w:vAlign w:val="bottom"/>
            <w:tcBorders>
              <w:bottom w:val="single" w:sz="8" w:color="0000FF"/>
            </w:tcBorders>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91</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892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1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7"/>
                <w:szCs w:val="17"/>
                <w:color w:val="auto"/>
              </w:rPr>
            </w:pPr>
          </w:p>
        </w:tc>
      </w:tr>
      <w:tr>
        <w:trPr>
          <w:trHeight w:val="498"/>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8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16.</w:t>
            </w:r>
          </w:p>
        </w:tc>
        <w:tc>
          <w:tcPr>
            <w:tcW w:w="2840" w:type="dxa"/>
            <w:vAlign w:val="bottom"/>
            <w:tcBorders>
              <w:top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Form 10-K Summary</w:t>
            </w:r>
          </w:p>
        </w:tc>
        <w:tc>
          <w:tcPr>
            <w:tcW w:w="608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7"/>
                <w:szCs w:val="17"/>
                <w:color w:val="auto"/>
              </w:rPr>
            </w:pPr>
          </w:p>
        </w:tc>
      </w:tr>
      <w:tr>
        <w:trPr>
          <w:trHeight w:val="457"/>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24"/>
                <w:szCs w:val="24"/>
                <w:color w:val="auto"/>
              </w:rPr>
            </w:pPr>
          </w:p>
        </w:tc>
      </w:tr>
      <w:tr>
        <w:trPr>
          <w:trHeight w:val="1219"/>
        </w:trPr>
        <w:tc>
          <w:tcPr>
            <w:tcW w:w="20" w:type="dxa"/>
            <w:vAlign w:val="bottom"/>
            <w:tcBorders>
              <w:bottom w:val="single" w:sz="8" w:color="9A9A9A"/>
            </w:tcBorders>
          </w:tcPr>
          <w:p>
            <w:pPr>
              <w:spacing w:after="0"/>
              <w:rPr>
                <w:sz w:val="24"/>
                <w:szCs w:val="24"/>
                <w:color w:val="auto"/>
              </w:rPr>
            </w:pPr>
          </w:p>
        </w:tc>
        <w:tc>
          <w:tcPr>
            <w:tcW w:w="10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4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Private Securities Litigation Reform Act of 1995 regarding future events and the future results of Akamai Technologies, Inc., which we refer to as “we,” “us,” or the “Company.” All statements other than statements of historical facts are statements that could be deemed forward-looking statements. These statements are subject to risks and uncertainties and are based on the beliefs and assumptions of our management as of the date hereof based on information currently available to our management. Use of words such as “believes,” “could,” “expects,” “anticipates,” “intends,” “plans,” “seeks,” “projects,” “estimates,” “should,” “would,” “forecasts,” “if,” “continues,” “goal,” “likely,” “may,” “will,” variations of such words or similar expressions are intended to identify a forward-looking statement. Forward-looking statements are not guarantees of future performance and involve risks, uncertainties and assumptions. Actual results may differ materially from the forward-looking statements we make as a result of various factors, including, but not limited to: potential slowing revenue growth, global economic and geopolitical conditions, including changes in customer spending and inflation, our ability to acquire or develop new solutions, our ability to compete effectively, including our ability to continue to grow our compute services and solutions, security risks stemming from ineffective information technology systems or cybersecurity breaches, risks of maintaining global operations, regulatory developments, intellectual property claims or disputes, investment related risks and maintaining an effective system of internal controls. See “Risk Factors” elsewhere in this annual report on Form 10-K and in our other reports filed with the Securities and Exchange Commission for a discussion of certain risks associated with our business. We disclaim any obligation to update any forward-looking statements as a result of new information, future events or otherwise, including the potential impact of any mergers, acquisitions, divestitures or other events that may be announced after the date hereof.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Akamai's mission is to power and protect life online.</w:t>
      </w:r>
    </w:p>
    <w:p>
      <w:pPr>
        <w:spacing w:after="0" w:line="244"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Since 1998, Akamai has developed and provided solutions for global enterprises to build, secure and accelerate their applications and digital experiences. Our massively distributed global network is comprised of core and distributed compute sites, more than 4,300 edge points-of-presence in approximately 130 countries and over 700 cities, and our underlying global network integrated with roughly 1,200 network partners. With this scale and distribution, Akamai has visibility and insight into traffic volumes, congestion, attack patterns, vulnerabilities and other activities across the internet's complex intersections of networks and systems. Leveraging these insights, Akamai offers solutions designed to protect our customers from threats and attacks, along with full-stack compute solutions to build and deliver distributed, low-latency applications on our globally distributed network.</w:t>
      </w:r>
    </w:p>
    <w:p>
      <w:pPr>
        <w:spacing w:after="0" w:line="212" w:lineRule="exact"/>
        <w:rPr>
          <w:sz w:val="20"/>
          <w:szCs w:val="20"/>
          <w:color w:val="auto"/>
        </w:rPr>
      </w:pPr>
    </w:p>
    <w:p>
      <w:pPr>
        <w:jc w:val="both"/>
        <w:ind w:right="60" w:firstLine="318"/>
        <w:spacing w:after="0" w:line="282" w:lineRule="auto"/>
        <w:rPr>
          <w:sz w:val="20"/>
          <w:szCs w:val="20"/>
          <w:color w:val="auto"/>
        </w:rPr>
      </w:pPr>
      <w:r>
        <w:rPr>
          <w:rFonts w:ascii="Times New Roman" w:cs="Times New Roman" w:eastAsia="Times New Roman" w:hAnsi="Times New Roman"/>
          <w:sz w:val="17"/>
          <w:szCs w:val="17"/>
          <w:color w:val="auto"/>
        </w:rPr>
        <w:t>Today, billions of people work, learn, shop, bank, communicate and do more online globally. We firmly believe that the internet’s role in transforming the way we exchange ideas and information and conduct business is more vital than ever. Our strategy is to help continue to power and protect business online by offering security and compute services with the industry-leading reliability, scale and expertise our customers need to grow their business with confidence.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46" w:lineRule="exact"/>
        <w:rPr>
          <w:sz w:val="20"/>
          <w:szCs w:val="20"/>
          <w:color w:val="auto"/>
        </w:rPr>
      </w:pPr>
    </w:p>
    <w:p>
      <w:pPr>
        <w:ind w:right="60" w:firstLine="318"/>
        <w:spacing w:after="0" w:line="267" w:lineRule="auto"/>
        <w:rPr>
          <w:sz w:val="20"/>
          <w:szCs w:val="20"/>
          <w:color w:val="auto"/>
        </w:rPr>
      </w:pPr>
      <w:r>
        <w:rPr>
          <w:rFonts w:ascii="Times New Roman" w:cs="Times New Roman" w:eastAsia="Times New Roman" w:hAnsi="Times New Roman"/>
          <w:sz w:val="17"/>
          <w:szCs w:val="17"/>
          <w:color w:val="auto"/>
        </w:rPr>
        <w:t>We provide solutions in three core offerings: security, delivery and compute. We also provide services and support for our customers as they utilize our solutions. As part of our mission to make life better for millions of businesses, trillions of times per day, Akamai is committed to enabling our customers to benefit from the latest technology developments. In recent years, artificial intelligence ("AI") has been a major focus of corporate initiatives for enterprises in multiple verticals and across the globe. To help our customers seize on the power and potential of AI, we provide cloud computing infrastructure that they can use to build AI-powered applications; cybersecurity solutions, powered by AI and automation, designed to defend against prompt injections, data exfiltration and toxic outputs; generative AI to improve the speed and efficiency of identifying and investigating malicious or suspect activity; and throughput on our global intelligent network to enable the large volumes of data required to power AI-powered applications and facilitate effective real-time protections.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w:t>
      </w:r>
    </w:p>
    <w:p>
      <w:pPr>
        <w:spacing w:after="0" w:line="246"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Our security solutions, threat intelligence and global operations team work to provide defense in depth to safeguard enterprise data and applications. Customers trust Akamai to help keep infrastructure, websites, applications, application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programming interfaces ("APIs"), networks and users safe from a multitude of cyberattacks and online threats while improving performance. With insight and automation derived from the world’s most distributed global network, our solutions blend robust automation with customizable protections and managed security services to enable businesses to effectively manage risk and maximize protections. Akamai’s web application and API protection solutions protect web, API and mobile app traffic from attacks that take advantage of security flaws, protection from malicious automated attacks, credential abuse and account takeover, client-side protections that protect end customers from malicious or vulnerable first- and third-party client-side scripts that can lead to audience hijacking and distributed denial of service ("DDoS") mitigation. As adversaries relentlessly refine their evasion techniques, it requires continuous innovation in threat detection and specialized defenses to stay ahead of advanced bot and abuse attacks. Our Bot &amp; Abuse portfolio provides tailored, specialized solutions to help customers protect against these threats. Akamai Account Protector offers full account lifecycle protections including the ability to defend against account takeover and opening abuse, adversarial bot protection, protection against credential stuffing, inventory scalping and hoarding. Akamai Content Protector also helps businesses protect their intellectual property, reputation and revenue potential with solutions designed to stop persistent scrapers from stealing content that can be used for malicious purposes like competitive intelligence/espionage, inventory manipulation, site performance degradation and counterfeiting.</w:t>
      </w:r>
    </w:p>
    <w:p>
      <w:pPr>
        <w:spacing w:after="0" w:line="216"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In May 2023, Akamai acquired Neosec, Inc. ("Neosec"), which enabled us to offer a solution we refer to as API Security that works to discover and audit APIs and monitor API activity. API Security complements our application and API security portfolio by extending our visibility into the growing API threat landscape to detect and respond to threats and abuse detection and operates using a response platform based on data and behavioral analytics. In June 2024, Akamai acquired Noname Security Ltd. ("Noname Security"), one of the top API security vendors in the market. This enhanced Akamai’s API Security solution and accelerated our ability to meet growing customer demand and market requirements as the use of APIs continues to expand. Akamai also expects to gain greater scale with Noname Security’s additional sales and marketing resources and established channel and alliance relationships. As a result of the acquisition, Akamai expects to offer a complete API security suite enabling customers to better discover “shadow” APIs and detect vulnerabilities and attacks. Akamai’s enhanced offering expects to have greater deployment choices for customers and access to a portfolio of technology integrations that we believe is unrivaled in the market.</w:t>
      </w:r>
    </w:p>
    <w:p>
      <w:pPr>
        <w:spacing w:after="0" w:line="21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also offer microservice and application component protection that analyzes and protects application traffic that moves between application components like containers, APIs and workloads. This is part of a growing set of solutions designed to help businesses implement a Zero Trust security architecture. Our acquisition of Guardicore Ltd. ("Guardicore") in October 2021 has enabled us to deliver the Akamai Guardicore Platform, which simplifies enterprise security with broad visibility and granular controls through one console. The Akamai Guardicore Platform simply and efficiently enables Zero Trust through a fully integrated combination of microsegmentation, Zero Trust Network Access, multi-factor authentication, domain name system ("DNS") firewall and threat hunting. Guardicore’s microsegmentation solution helps our customers prevent malicious lateral movement in their network through precise segmentation policies, visuals of activity within their IT environment and network security alerts. The platform leverages AI to simplify user experience, vulnerability assessments, compliance and incident response, helping to protect businesses from the threat of ransomware. AI network labeling examines how assets are behaving and suggests labels to help security teams apply appropriate controls, and generative AI allows security professionals to ask natural language questions of their network, instead of manually poring through logs, to drastically expedite a variety of use cases like compliance scoping and incident response.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Compute</w:t>
      </w:r>
    </w:p>
    <w:p>
      <w:pPr>
        <w:spacing w:after="0" w:line="246"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Akamai's cloud computing services, which we sometimes refer to as compute, include compute, storage, networking, database and container management services that are required to build, deploy and secure applications and workloads. The cloud computing services running on Akamai's compute platform enable companies to distribute workloads and applications across our core to edge infrastructure to help solve the cost, performance and scale challenges that centralized cloud computing platforms present today.</w:t>
      </w:r>
    </w:p>
    <w:p>
      <w:pPr>
        <w:spacing w:after="0" w:line="207"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In March 2022, Akamai acquired Linode Limited Liability Company ("Linode"), an established cloud computing platform. This acquisition was a significant milestone in our expansion into cloud computing. While Linode was traditionally focused on individual developers, we are leveraging the Linode cloud computing services for enterprise customers by building new enterprise-grade core computing regions and connecting them to the Akamai network, which we believe will give Akamai an advantage over its bigger cloud rivals. Akamai provides a continuum of compute solutions for developers to build and deliver distributed, low-latency applications. We empower businesses to build and deploy massively scalable applications, distribute them to reduce latency and reach underserved locations and work to optimize and secure experiences and data from the core to the digital touchpoint. Akamai’s compute solutions include a broad set of distributed cloud and edge computing services, including virtual machines, graphical processing units, cloud storage and databases, network optimization and security services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and lightweight serverless functions to help businesses build, deploy and manage applications and workloads with superior performance and affordability on the world’s most distributed platform.</w:t>
      </w:r>
    </w:p>
    <w:p>
      <w:pPr>
        <w:spacing w:after="0" w:line="19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2024, we expanded Akamai's compute platform to span 41 datacenters in 36 locations. This includes upgrades to 5 existing datacenters and the introduction of 11 datacenters. The locations of these datacenters include Denver, Colorado; Houston, Texas; Querétaro, Mexico; Bogotá, Colombia; Santiago, Chile; Marseille, France; Hamburg, Germany; Johannesburg, South Africa; Auckland, New Zealand; Kuala Lumpur, Malaysia; and Melbourne, Australia. Distributed compute regions provide access to powerful dedicated compute, storage and networking services in major metros that lack cloud computing options and availability, enabling organizations to place compute-intensive workloads as close as possible to end users. These regions act as an extension of primary infrastructure deployed in core compute regions for organizations that aim to improve application performance to attract new customers in new or target regions, and/or stabilize performance to meet user expectations. We also introduced new NVIDIA graphics processing units ("GPUs") to provide better productivity and economics for companies in the media and entertainment industry that are challenged with processing video content faster and more efficiently, and for organizations seeking to deploy AI inferencing workloads closer to end users. These GPUs are well-suited for video transcoding and live video streaming, virtual reality and augmented reality content, gaming and graphics rendering, training and inference with neural networks, data analysis and scientific computing and high-performance computing applications, such as modeling and simulation, that require fast and efficient processing of large amounts of data.</w:t>
      </w:r>
    </w:p>
    <w:p>
      <w:pPr>
        <w:spacing w:after="0" w:line="216" w:lineRule="exact"/>
        <w:rPr>
          <w:sz w:val="20"/>
          <w:szCs w:val="20"/>
          <w:color w:val="auto"/>
        </w:rPr>
      </w:pPr>
    </w:p>
    <w:p>
      <w:pPr>
        <w:ind w:right="140" w:firstLine="318"/>
        <w:spacing w:after="0" w:line="269" w:lineRule="auto"/>
        <w:rPr>
          <w:sz w:val="20"/>
          <w:szCs w:val="20"/>
          <w:color w:val="auto"/>
        </w:rPr>
      </w:pPr>
      <w:r>
        <w:rPr>
          <w:rFonts w:ascii="Times New Roman" w:cs="Times New Roman" w:eastAsia="Times New Roman" w:hAnsi="Times New Roman"/>
          <w:sz w:val="17"/>
          <w:szCs w:val="17"/>
          <w:color w:val="auto"/>
        </w:rPr>
        <w:t>In November 2024, we launched the Akamai App Platform, a ready-to-run solution that makes it easy to deploy, manage and scale highly distributed applications. The Akamai App Platform is built on top of the cloud native Kubernetes technology Otomi, which Akamai acquired from Red Kubes Holding B.V. and its subsidiary earlier in the year. The application platform provides ready-to-run templates that address common challenges in deploying, managing and scaling Kubernetes clusters at scale. Instead of relying on multiple departments and spending months sourcing, connecting and configuring the software needed to operate Kubernetes fleets, Akamai’s solution automates the provisioning process, allowing developers to build and deploy highly distributed applications in a few clicks. This can cut deployment time from months to less than an hour and provides near-instant scaling as production workloads grow.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w:t>
      </w:r>
    </w:p>
    <w:p>
      <w:pPr>
        <w:spacing w:after="0" w:line="246" w:lineRule="exact"/>
        <w:rPr>
          <w:sz w:val="20"/>
          <w:szCs w:val="20"/>
          <w:color w:val="auto"/>
        </w:rPr>
      </w:pPr>
    </w:p>
    <w:p>
      <w:pPr>
        <w:ind w:right="200" w:firstLine="318"/>
        <w:spacing w:after="0" w:line="271" w:lineRule="auto"/>
        <w:rPr>
          <w:sz w:val="20"/>
          <w:szCs w:val="20"/>
          <w:color w:val="auto"/>
        </w:rPr>
      </w:pPr>
      <w:r>
        <w:rPr>
          <w:rFonts w:ascii="Times New Roman" w:cs="Times New Roman" w:eastAsia="Times New Roman" w:hAnsi="Times New Roman"/>
          <w:sz w:val="17"/>
          <w:szCs w:val="17"/>
          <w:color w:val="auto"/>
        </w:rPr>
        <w:t>Our delivery solutions consist primarily of web and mobile performance focused solutions and media delivery solutions. Our web and mobile performance solutions are architected to enable dynamic websites and applications to have rapid response times, no matter where the user is, what device or browser they are using or how they are connected to the internet. These services leverage intelligent performance optimization and real-time monitoring, origin offload and network reliability and insights that enable enterprises to identify and address performance issues. Akamai web and mobile performance capabilities also include global traffic management, site acceleration, application load balancing, large-scale load testing and real-user monitoring.</w:t>
      </w:r>
    </w:p>
    <w:p>
      <w:pPr>
        <w:spacing w:after="0" w:line="195"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Our media delivery solutions are designed to enable enterprises to execute their digital media distribution strategies by addressing volume and global reach requirements, improving the end-user experience, boosting reliability and reducing the cost of internet-related infrastructure. Underlying these solutions is technology to address variable connection speeds and device types, facilitate access to disparate locations around the world, accelerate large file downloads, reliably deliver high-quality live content across various devices and platforms and enable comprehensive insights and real-time online video monitoring.</w:t>
      </w:r>
    </w:p>
    <w:p>
      <w:pPr>
        <w:spacing w:after="0" w:line="1"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8"/>
          <w:szCs w:val="18"/>
          <w:color w:val="auto"/>
        </w:rPr>
        <w:t>Akamai media delivery solutions include video streaming and video player services, game and software delivery, broadcast operations, authoritative DNS, resolution and data and analytics.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and Support</w:t>
      </w:r>
    </w:p>
    <w:p>
      <w:pPr>
        <w:spacing w:after="0" w:line="246"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We provide an array of service and support offerings across our core offerings. Through our service and support offerings we work closely with our customers to develop creative and tailored solutions to assist them with integrating, configuring, optimizing and managing our core offerings. Customers can rely on our professional services and security experts for customized solutions, problem resolution and 24/7 customer support. Additional features are available to enterprises that purchase our premium and managed security solutions, including a dedicated technical account team, proactive service monitoring, custom technical support handling, security traffic monitoring, technical security reviews, threat advisories and emergency support for security events.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Our employees – our human capital – are our most valuable resources as they are fundamental to our innovation, the operation and ongoing enhancement of Akamai's solutions and global network, the fostering and maintenance of relationships with our customers and the management of our operations. The importance of our workforce to our success is underscored by the inclusion of corporate mission critical goals centered on our employees. In 2024, we continued to focus on fostering a community that enables employees to be productive, and continuing to deliver a positive experience for both employees and customers by living our values each day. Different aspects of our human capital management are overseen by our board of directors as well as its Talent, Leadership and Compensation Committee and Environmental, Social and Governance Committee.</w:t>
      </w:r>
    </w:p>
    <w:p>
      <w:pPr>
        <w:spacing w:after="0" w:line="212"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2024, we had over 10,700 employees located in more than 30 countries (with approximately 65% of those employees located outside of the U.S.) and representing over 100 nationalities, all of which we believe helps bring a global perspective to our operations. Our employees are grouped across the following roles, with the approximate percentage of the overall population noted: engineering and research and development (36%), services and support (27%), sales and marketing (17%) and administrative functions (20%).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w:t>
      </w:r>
    </w:p>
    <w:p>
      <w:pPr>
        <w:spacing w:after="0" w:line="246"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We continue to recognize that an engaged employee workforce is key to having the productive, ethical and high-performing workplace needed to successfully compete in today’s marketplace. We conduct quarterly surveys of our entire employee population to assess a variety of key metrics related to important topics, such as engagement, inclusion and overall job satisfaction. Results from these surveys have consistently shown a strong sense of engagement and confidence in Akamai’s future. We have been acknowledged in respected publications across the U.S., India and Poland, among other countries, as a great place to work. Continuing in 2024, all employees were able to participate in a company-wide program, developed by a behavioral research organization, that was intended to help us increase inclusive behaviors, become more open to change and accelerate our innovation. In addition, we work closely with the Akamai Foundation, to provide community service and charitable matching fund opportunities for Akamai employees, endeavors that have been shown to increase employee engagement. The Akamai Compassion Fund was created in 2020, by employees for employees, with support from the Akamai Foundation, and continues to provide a way for Akamai employees to unite and support global colleagues and their families during times of unexpected hardships following a catastrophic event, such as climate events (e.g., hurricane, mudslide, wildfire) and ongoing wars and armed conflicts around the world.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w:t>
      </w:r>
    </w:p>
    <w:p>
      <w:pPr>
        <w:spacing w:after="0" w:line="246"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Akamai is an equal opportunity employer that values the strength that diverse perspectives bring to the workplace. We do not tolerate discrimination on the basis of gender, gender identity, sexual orientation, race or ethnicity, protected veteran status, disability, or other protected group status. Akamai supports a variety of programs and practices designed to support an optimal working environment. We have eight employee resource groups ("ERGs") that offer opportunities for employees to come together for mutual support, education and development. ERGs encompass different racial and ethnic groups, persons with different physical or cognitive abilities, parents, military veterans, the LGBTQIA+ community and women and are open to all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46"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have a demonstrated history of investing in our workforce by offering competitive salaries, wages and benefits. Our compensation and benefits philosophy is to maximize the effectiveness of pay and benefits programs to attract and retain the high caliber individuals needed to drive the success of our business, while balancing cost-effectiveness and competitive factors. Our benefits programs (which vary by country and region) include healthcare and insurance benefits, health savings and flexible spending accounts, paid time off, family leave, family care resources, flexible work schedules and locations, adoption and fertility assistance, employee assistance programs, tuition assistance and holistic wellness programs. Our wellness programs include educational offerings on healthy lifestyles, access to mental health experts, access to ergonomic advice and equipment and financial wellness support. To foster a stronger sense of ownership and align the interests of employees with shareholders, stock awards are held by the vast majority of our employees under our broad-based stock incentive programs and most employees are eligible to participate in our employee stock purchase plan. We monitor voluntary attrition in assessing our overall human capital. Attrition was slightly up in 2024 when compared to 2023.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We conduct annual internal pay equity analyses (with the assistance of a nationally-recognized outside consultant), and we take action to remedy identified discrepancies when we believe it is appropriate. To date, no widespread patterns of disparity have been identified.</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succession planning is an ongoing priority for our leadership. We conduct annual succession planning for senior leadership, which is overseen by our board of directors, including development plans for the next level of our senior leaders. Annual talent reviews focus on both high performers as well as those with high potential to keep a full pipeline of tomorrow’s leaders.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w:t>
      </w:r>
    </w:p>
    <w:p>
      <w:pPr>
        <w:spacing w:after="0" w:line="246"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We invest significant resources in professional development, career advancement and training for our global workforce. All employees are eligible to participate in our Akamai Elevation performance review program, which provides guidance around setting annual performance objectives, developing competencies and receiving feedback. Where appropriate, we offer leadership training workshops, 360-degree feedback and succession planning exercises to encourage and enable internal promotion and advancement. As a result of these investments and others, nearly 15% of open positions were filled with internal candidates in 2024. All employees are required to complete annual ethics and compliance and data security training. In addition to these required trainings, nearly all of our employees and contractors completed at least one training in our Akamai University program during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FlexBase</w:t>
      </w:r>
    </w:p>
    <w:p>
      <w:pPr>
        <w:spacing w:after="0" w:line="246"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In May 2022, we launched FlexBase, which is a flexible work arrangement that allows over 95% of employees to choose to work from their home office, a Company office, an approved workspace or a combination. We believe that a focus on employee choice makes us a more attractive employer, increases productivity, enables us to recruit from a broader and more varied pool of applicants and presents additional growth and development opportunities for our employees. Since 2022, we have rolled out a number of tools and resources to support this program, such as supporting employees with guidance on maximizing our internal tools to deliver great virtual meeting experiences. In addition, we have invested in ensuring that workplace connection remains strong and developed a framework for understanding, measuring and optimizing workplace connection, named CLEAR Connections. CLEAR stands for Colleague, Leader, Employer and Role. We measure each dimension in a quarterly anonymous survey, which allows us to track and report on workplace connection around the world.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46"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color w:val="auto"/>
        </w:rPr>
        <w:t>Our customers include many of the world's leading corporations, such as Adobe, Aflac, Airbnb, Asus, Autodesk, Carnival Corporation, The Coca-Cola Company, Comcast, Daiwa Institute of Research, eBay, Electronic Arts, Epic Games, Fidelity Investments, Honda, Japan Airlines, Liberty Mutual, Maersk Transportation &amp; Logistics, Marriott, NBCUniversal, Panasonic, Panera Bread, Paramount Global, Philips, Rabobank, Riot Games, Sony Interactive Entertainment, RTL, Spotify, Telefonica, Toshiba, Ubisoft, WarnerMedia and The Washington Post. We also actively sell to government agencies. As of December 31, 2024, our public-sector customers included the U.S. Census Bureau, the U.S. Department of Defense, the U.S. Department of Labor, the U.S. Department of Transportation and the U.S. Department of the Treasury.</w:t>
      </w:r>
    </w:p>
    <w:p>
      <w:pPr>
        <w:spacing w:after="0" w:line="212" w:lineRule="exact"/>
        <w:rPr>
          <w:sz w:val="20"/>
          <w:szCs w:val="20"/>
          <w:color w:val="auto"/>
        </w:rPr>
      </w:pPr>
    </w:p>
    <w:p>
      <w:pPr>
        <w:ind w:right="300" w:firstLine="318"/>
        <w:spacing w:after="0" w:line="259" w:lineRule="auto"/>
        <w:rPr>
          <w:sz w:val="20"/>
          <w:szCs w:val="20"/>
          <w:color w:val="auto"/>
        </w:rPr>
      </w:pPr>
      <w:r>
        <w:rPr>
          <w:rFonts w:ascii="Times New Roman" w:cs="Times New Roman" w:eastAsia="Times New Roman" w:hAnsi="Times New Roman"/>
          <w:sz w:val="18"/>
          <w:szCs w:val="18"/>
          <w:color w:val="auto"/>
        </w:rPr>
        <w:t>No customer accounted for 10% or more of total revenue for any of the years ended December 31, 2024, 2023 and 2022. Less than 10% of our total revenue in each of the years ended December 31, 2024, 2023 and 2022 was derived from contracts or subcontracts terminable at the election of the federal government.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Services and Marketing</w:t>
      </w:r>
    </w:p>
    <w:p>
      <w:pPr>
        <w:spacing w:after="0" w:line="246"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We market and sell our solutions globally through our field sales and services organization and through many channel partners, including Apukay, AT&amp;T, Avant, BV Tech, Carahsoft, CPD, Deloitte, Deutsche Telecom, Doyen, Kyndryl, Macnica, Microsoft Azure, Netpoleon, Telefonica Group and WWT. In addition to entering into agreements with resellers, we have several other types of sales and marketing focused alliances with entities such as system integrators, application service providers, technology solution distributors, referral partners and marketplaces. By aligning with these partners, we believe we are better able to market our solutions and leverage partners to add valuable services to complement our offerings and improve the customer experience. Our sales, services and marketing professionals are based in locations across the Americas, Europe, the Middle East and Asia-Pacific and focus on direct and channel sales, sales operations, professional services, account management and technical consulting.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To support our sales efforts and promote the Akamai brand, we conduct comprehensive marketing programs to shape perception and drive awareness and consideration of our solutions. Our integrated marketing strategies include public relations, digital programmatic advertising, paid search and SEO marketing, content marketing, social media, strategic alliances, e-mail marketing programs, events and webinars, participation at industry trade shows and ongoing training and sales enablement.</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6" w:lineRule="exact"/>
        <w:rPr>
          <w:sz w:val="20"/>
          <w:szCs w:val="20"/>
          <w:color w:val="auto"/>
        </w:rPr>
      </w:pPr>
    </w:p>
    <w:p>
      <w:pPr>
        <w:jc w:val="both"/>
        <w:ind w:right="280" w:firstLine="318"/>
        <w:spacing w:after="0" w:line="259" w:lineRule="auto"/>
        <w:rPr>
          <w:sz w:val="20"/>
          <w:szCs w:val="20"/>
          <w:color w:val="auto"/>
        </w:rPr>
      </w:pPr>
      <w:r>
        <w:rPr>
          <w:rFonts w:ascii="Times New Roman" w:cs="Times New Roman" w:eastAsia="Times New Roman" w:hAnsi="Times New Roman"/>
          <w:sz w:val="18"/>
          <w:szCs w:val="18"/>
          <w:color w:val="auto"/>
        </w:rPr>
        <w:t>The market for our solutions is intensely competitive and characterized by rapidly changing technology, evolving industry standards and frequent new product and service innovations. We expect competition for our offerings to increase both from existing competitors and new market entrants. We compete primarily on the basis of:</w:t>
      </w:r>
    </w:p>
    <w:p>
      <w:pPr>
        <w:spacing w:after="0" w:line="204"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reliability of our solutions;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massive distribution and availability of our network;</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 in terms of cost savings and new revenue opportunities for our customers;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infrastructure complexity;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sophistication and functionality of our offerings;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product roadmaps and ability to quickly innovate;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implementation and use of service;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first-party global services and support across products;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22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compete with companies offering products and services that provide internet content delivery and hosting services, security and cloud computing solutions, technologies used by carriers to improve the efficiency of their systems, streaming content delivery services and equipment-based solutions for internet performance problems, such as load balancers and server switches. Other companies offer online distribution of digital media assets through advertising-based billing or revenue-sharing models that may represent an alternative method for charging for the delivery of content and applications over the internet. In addition, existing and potential customers may decide to purchase or develop their own hardware, software or other technology solutions rather than rely on a third-party provider like us. Our security solutions compete with those offered by both hardware and software providers. While our compute solutions have historically competed with alternative cloud computing platforms focused on individual developers, we anticipate that going forward our compute solutions will increasingly compete with the large so-called “hyper-scaler” cloud computing providers.</w:t>
      </w:r>
    </w:p>
    <w:p>
      <w:pPr>
        <w:spacing w:after="0" w:line="217"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We believe that we compete favorably with other companies in our industry through our global scale, reliability and expertise, which we believe provides the most effective means of meeting the needs of enterprise customers and is unique to us. In our view, we also benefit from the high quality of our offerings, our customer service and the information we can provide to our customers about their online operations and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6"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As a global technology company, Akamai is subject to complex foreign and U.S. laws and regulations in areas such as data privacy and localization, cybersecurity, liability for content delivered over our network, various internet regulations, bribery, sanctions, export controls, competition, tax and foreign exchange controls.</w:t>
      </w:r>
    </w:p>
    <w:p>
      <w:pPr>
        <w:spacing w:after="0" w:line="20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Privacy laws, such as the European Union General Data Protection Regulation and the California Consumer Privacy Act of 2018, impact how we use data generated from our network as well as our ability to reach current and prospective customers, understand how our solutions are being used, transfer data about our employees and respond to customer requests allowed under the applicable laws. Other laws and regulations that apply to the internet related to, among other things, content liability, security and disclosure requirements, critical infrastructure designations, internet resiliency, law enforcement access to information, net neutrality, so-called "fair share" or internet content taxes, data localization requirements, industry regulations applicable to key suppliers to some of our customers and restrictions on social media or other content can have an impact on our business. For instance, regulations have been enacted or proposed in a number of countries that limit the delivery of certain types of content into those countries. As an example, restrictions were adopted in India in 2020 prohibiting access to identified Chinese-owned applications. Enactment and expansion of such laws and regulations in other jurisdictions would negatively impact our revenues or cause us to incur costs to redesign our systems to ensure compliance. In addition, in April 2024, the U.S. government passed legislation that prohibited the provision of certain types of services to a Chinese application if the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application was not sold to a neutral third party by January 19, 2025. The Chinese application was not sold to a neutral third party by the January 19th deadline, but President Trump subsequently signed an executive order instructing the U.S. Attorney General to not take any action to enforce the passed legislation for a period of 75 days from January 20, 2025. The Attorney General has since determined that our provision of services to this customer has not violated the law and that we can continue providing services as contemplated by the Executive Order without violating the law and without incurring any legal liability. It is difficult to predict whether the passed legislation will ultimately be enforced and whether any future judicial challenges brought against the executive order will be successful. Even though President Trump has extended the enforcement deadline for a ban on the Chinese application, there is no assurance that we will not be exposed to liability and we may be exposed to significant fines, litigation, indemnification claims, negative publicity, reputational harm, diversion of management attention, interruptions in our operations, financial loss and other similar harms by continuing to provide services to the Chinese application.</w:t>
      </w:r>
    </w:p>
    <w:p>
      <w:pPr>
        <w:spacing w:after="0" w:line="2"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We are subject to the U.S. Foreign Corrupt Practices Act and similar anti-bribery laws, which generally prohibit companies and their intermediaries from offering payments or inducements to foreign government officials for the purpose of obtaining or retaining business. To the extent we export technical services, data, products or other technology outside of the U.S., we are subject to U.S. and international laws and regulations governing international trade and exports, including, but not limited to, the International Traffic in Arms Regulations, the Export Administration Regulations and sanctions against embargoed countries and other designated entities and individuals.</w:t>
      </w:r>
    </w:p>
    <w:p>
      <w:pPr>
        <w:spacing w:after="0" w:line="214"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Many of these laws and regulations are evolving and could be interpreted and applied in a manner that is inconsistent from country to country and inconsistent with our current policies and practices and in ways that could harm our business. For example, while we are generally not subject to regulations applicable to telecommunications companies, new or different interpretations of laws or regulations could subject us to regulatory supervision. In general, the nature and breadth of laws and regulations governing the internet may increase in the future; accordingly, we are unable to assess the possible effect of compliance with future requirements or whether our compliance with such regulations will materially impact our business, results of operations or financial condition.</w:t>
      </w:r>
    </w:p>
    <w:p>
      <w:pPr>
        <w:spacing w:after="0" w:line="212"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For further discussion of how government regulations may affect our business, see the related discussion below in Item 1A. Risk Factors – Financial and Operational Risks – We face risks associated with global operations that could harm our business; – Legal and Regulatory Risks – Evolving privacy regulations could negatively impact our profitability and business operations; and – Legal and Regulatory Risks – Other regulatory developments could negatively impact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6" w:lineRule="exact"/>
        <w:rPr>
          <w:sz w:val="20"/>
          <w:szCs w:val="20"/>
          <w:color w:val="auto"/>
        </w:rPr>
      </w:pPr>
    </w:p>
    <w:p>
      <w:pPr>
        <w:ind w:right="180" w:firstLine="318"/>
        <w:spacing w:after="0" w:line="250" w:lineRule="auto"/>
        <w:rPr>
          <w:sz w:val="20"/>
          <w:szCs w:val="20"/>
          <w:color w:val="auto"/>
        </w:rPr>
      </w:pPr>
      <w:r>
        <w:rPr>
          <w:rFonts w:ascii="Times New Roman" w:cs="Times New Roman" w:eastAsia="Times New Roman" w:hAnsi="Times New Roman"/>
          <w:sz w:val="18"/>
          <w:szCs w:val="18"/>
          <w:color w:val="auto"/>
        </w:rPr>
        <w:t>Our success and ability to compete are dependent on developing and maintaining the proprietary aspects of our technology and operating without infringing on the proprietary rights of others. We rely on a combination of patent, trademark, trade secret and copyright laws and contractual restrictions to protect the proprietary aspects of our technology. As of December 31, 2024, we owned, or had exclusive rights to, over 560 U.S. patents covering our technology as well as patents issued by other countries. Our U.S.-issued patents have terms extendable to various dates between 2025 and 2043. We do not believe that the expiration of any particular patent in the near future would be materially detrimental to our business. We seek to limit disclosure of our intellectual property by requiring employees and consultants with access to our proprietary information to execute confidentiality agreements with us and by restricting access to our source code.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Our internet website address is www.akamai.com. We make available, free of charge, on or through our internet website, our annual reports on Form 10-K, quarterly reports on Form 10-Q, current reports on Form 8-K and amendments thereto that we have filed or furnished with the Securities and Exchange Commission (the "Commission") as soon as reasonably practicable after we electronically file them with the Commission. We also use our </w:t>
      </w:r>
      <w:r>
        <w:rPr>
          <w:rFonts w:ascii="Times New Roman" w:cs="Times New Roman" w:eastAsia="Times New Roman" w:hAnsi="Times New Roman"/>
          <w:sz w:val="18"/>
          <w:szCs w:val="18"/>
          <w:color w:val="467886"/>
        </w:rPr>
        <w:t xml:space="preserve">https://www.ir.akamai.com </w:t>
      </w:r>
      <w:r>
        <w:rPr>
          <w:rFonts w:ascii="Times New Roman" w:cs="Times New Roman" w:eastAsia="Times New Roman" w:hAnsi="Times New Roman"/>
          <w:sz w:val="18"/>
          <w:szCs w:val="18"/>
          <w:color w:val="000000"/>
        </w:rPr>
        <w:t>website as a means of disclosing material non-public information and for complying with our disclosure obligations under</w:t>
      </w:r>
      <w:r>
        <w:rPr>
          <w:rFonts w:ascii="Times New Roman" w:cs="Times New Roman" w:eastAsia="Times New Roman" w:hAnsi="Times New Roman"/>
          <w:sz w:val="18"/>
          <w:szCs w:val="18"/>
          <w:color w:val="467886"/>
        </w:rPr>
        <w:t xml:space="preserve"> </w:t>
      </w:r>
      <w:r>
        <w:rPr>
          <w:rFonts w:ascii="Times New Roman" w:cs="Times New Roman" w:eastAsia="Times New Roman" w:hAnsi="Times New Roman"/>
          <w:sz w:val="18"/>
          <w:szCs w:val="18"/>
          <w:color w:val="000000"/>
        </w:rPr>
        <w:t>Regulation FD. We are not, however, including the information contained on our website, or information that may be accessed through links on our website, as part of, or incorporating such information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are important factors that could cause our actual operating results to differ materially from those indicated or suggested by forward-looking statements made in this annual report on Form 10-K or presented elsewhere by management from time to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Operational Risks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Slowing revenue growth has in the past and may continue to negatively impact our profitability and stock price.</w:t>
      </w:r>
    </w:p>
    <w:p>
      <w:pPr>
        <w:spacing w:after="0" w:line="248" w:lineRule="exact"/>
        <w:rPr>
          <w:sz w:val="20"/>
          <w:szCs w:val="20"/>
          <w:color w:val="auto"/>
        </w:rPr>
      </w:pPr>
    </w:p>
    <w:p>
      <w:pPr>
        <w:ind w:right="340" w:firstLine="318"/>
        <w:spacing w:after="0" w:line="259" w:lineRule="auto"/>
        <w:rPr>
          <w:sz w:val="20"/>
          <w:szCs w:val="20"/>
          <w:color w:val="auto"/>
        </w:rPr>
      </w:pPr>
      <w:r>
        <w:rPr>
          <w:rFonts w:ascii="Times New Roman" w:cs="Times New Roman" w:eastAsia="Times New Roman" w:hAnsi="Times New Roman"/>
          <w:sz w:val="18"/>
          <w:szCs w:val="18"/>
          <w:color w:val="auto"/>
        </w:rPr>
        <w:t>The overall revenue growth we have enjoyed in recent years may not continue in future periods and could decline, which could negatively impact our profitability and stock price. Our ability to generate revenue depends on the amount of services we deliver, continued growth in demand for our security, delivery and compute solutions and our ability to maintain the prices we charge for them.</w:t>
      </w:r>
    </w:p>
    <w:p>
      <w:pPr>
        <w:spacing w:after="0" w:line="20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Revenue we generate from our delivery solutions is impacted by pricing pressure due to competition and fluctuations in content traffic as a result of, among other factors, changes in the popularity of our customers' content including video delivery and gaming, and economic pressures on our customers that can cause them to take steps to optimize their platforms, including through "do-it-yourself", or DIY, initiatives. For example, revenue from our delivery solutions increased significantly in 2020 due in large part to greater consumption of online media and games during the onset of the COVID-19 pandemic and the associated stay-at-home orders. However, as these orders were lifted and more return-to-work policies were adopted, our revenue from delivery solutions declined. In addition, a large social media company has recently taken steps to lower costs and reduce reliance on U.S. providers, including a DIY component, which we believe is in part a reaction to certain geopolitical pressures, and which has reduced traffic on our network and negatively impacted revenue in 2024. Other customers have and may continue to reduce their traffic with us, negatively impacting revenue. We have continued to experience revenue declines in our delivery solutions and expect this trend to continue in the near future.</w:t>
      </w:r>
    </w:p>
    <w:p>
      <w:pPr>
        <w:spacing w:after="0" w:line="214"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Our security solutions currently generate the largest portion of our revenue. Our ability to generate revenue in our security business depends on our ability to increase our industry recognition as a provider of security solutions, develop or acquire new solutions in a rapidly-changing environment where security threats are constantly evolving and ensure that our solutions operate effectively and are competitive with products offered by others. Further, security revenue for some products is impacted by traffic levels on our network and recently has, and may continue to be, negatively impacted by reduced traffic on our network, including the reduced traffic from a large social media company among other customers.</w:t>
      </w:r>
    </w:p>
    <w:p>
      <w:pPr>
        <w:spacing w:after="0" w:line="212"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In addition, an increasing proportion of our revenue has recently been generated by our compute solutions. Our ability to generate revenue in our compute business is dependent on our ability to successfully continue building our compute platform, attract a customer base that has traditionally partnered with more established companies in the compute industry, and develop effective, price competitive and attractive solutions.</w:t>
      </w:r>
    </w:p>
    <w:p>
      <w:pPr>
        <w:spacing w:after="0" w:line="20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If we are unable to increase revenues, our profitability and stock price could suffer. See the risk factor titled, "Global conditions have in the past and may in the future harm our industry, business and results of operations"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conditions have in the past and may in the future harm our industry, business and results of operations.</w:t>
      </w:r>
    </w:p>
    <w:p>
      <w:pPr>
        <w:spacing w:after="0" w:line="248"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We operate globally and as a result, our business, revenues and profitability are impacted by global macroeconomic conditions. The success of our activities is affected by general economic and market conditions, including, among others, inflation, foreign exchange rates, interest rates, tax rates, economic uncertainty, political instability, warfare, changes in laws, trade barriers, the actual or perceived failure or financial difficulties of financial institutions, reduced consumer confidence and spending and economic and trade sanctions. Global economic and geopolitical conditions can impact our customers, causing them to take cost-savings measures that can include optimization and "do-it-yourself", or DIY, initiatives, which can impact our revenues. For example, a large social media company has recently taken steps to lower costs and reduce reliance on U.S. providers by optimizing its platform, including a DIY component, which reduced traffic on our network and negatively impacted our revenue in 2024. The U.S. capital markets have experienced and may continue to experience extreme volatility and disruption in the recent past. Furthermore, inflation rates in the U.S. have been elevated compared to historical rates and have fluctuated. In addition, the Trump administration has indicated an intention to impose tariffs on certain countries that could adversely impact trade relations, result in higher costs and decreased purchasing power of our customers, put increased pressure on supply chains and create general market instability. Such economic volatility has in the past and could in the future adversely affect our business, financial condition, results of operations and cash flows and future market disruptions could negatively impact us. For example, these unfavorable economic conditions could increase our operating costs, which could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auto"/>
        </w:rPr>
        <w:t>negatively impact our profitability. Geopolitical destabilization and warfare have impacted and could continue to impact global currency exchange rates, resources from our suppliers and our ability to operate or grow our business.</w:t>
      </w:r>
    </w:p>
    <w:p>
      <w:pPr>
        <w:spacing w:after="0" w:line="19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Additionally, we have offices and employees located in regions that historically have and may again experience periods of political instability, warfare, changes in laws, trade barriers and economic and trade sanctions. Adverse conditions in these countries have in the past and may in the future affect our operations, including disruptions to our workforce, supply chains, networks, financial systems and other critical infrastructure, which could adversely affect our business, results of operations, financial condition and cash flows. For example, approximately six percent of our global employees are located in Israel and some of our employees have been mobilized as members of the Israeli military reserves. Should the Isreal-Hamas war continue, it could cause harm to our employees or otherwise impair their ability to work for extended periods of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control expenses could reduce our profitability, which would negatively impact our stock price.</w:t>
      </w:r>
    </w:p>
    <w:p>
      <w:pPr>
        <w:spacing w:after="0" w:line="24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Maintaining or improving our profitability depends both on our ability to increase our revenue and limit our expenses. We base our decisions about expense levels and investments on estimates of our future revenue and future anticipated rates of growth and may incur varying levels of expense based on strategic initiatives, including acquisitions and the build out of our network to support our compute solutions. In addition, many of our expenses are fixed costs for a certain amount of time which may impact our ability to reduce costs in a timely manner or without incurring additional costs. If we are unable to increase revenue and limit expenses, our results of operations will suffer. We have in the past and may in the future take certain steps to reduce expenses, however, there are no assurances that we will be able to effectively reduce our expenses and such actions may negatively affect our ability to invest in our business for innovation, systems improvements and other initiatives.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develop or acquire new solutions that are attractive to our customers, our revenue and operating results could be adversely affected.</w:t>
      </w:r>
    </w:p>
    <w:p>
      <w:pPr>
        <w:spacing w:after="0" w:line="248" w:lineRule="exact"/>
        <w:rPr>
          <w:sz w:val="20"/>
          <w:szCs w:val="20"/>
          <w:color w:val="auto"/>
        </w:rPr>
      </w:pPr>
    </w:p>
    <w:p>
      <w:pPr>
        <w:ind w:right="400" w:firstLine="318"/>
        <w:spacing w:after="0" w:line="255" w:lineRule="auto"/>
        <w:rPr>
          <w:sz w:val="20"/>
          <w:szCs w:val="20"/>
          <w:color w:val="auto"/>
        </w:rPr>
      </w:pPr>
      <w:r>
        <w:rPr>
          <w:rFonts w:ascii="Times New Roman" w:cs="Times New Roman" w:eastAsia="Times New Roman" w:hAnsi="Times New Roman"/>
          <w:sz w:val="18"/>
          <w:szCs w:val="18"/>
          <w:color w:val="auto"/>
        </w:rPr>
        <w:t>Innovation is important to our future success. In particular, as security and compute solutions have become, and are expected to continue to be, an important part of our business, we must be particularly adept at developing new security solutions that meet the constantly-changing threat landscape and compute and compute-to-edge solutions that meet the needs of professional users and enterprises looking to increase the utility of the internet for their business.</w:t>
      </w:r>
    </w:p>
    <w:p>
      <w:pPr>
        <w:spacing w:after="0" w:line="207"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The process of developing new solutions and product enhancements is complex, lengthy and uncertain and has become increasingly complex due to the sophistication of our customers’ needs. The development timetable is uncertain and we may commit significant resources to developing solutions for which a viable market may not ultimately develop. For example, we are investing significant resources in our compute solutions and platform, working on expanding the capacity of these facilities, adding additional sites and developing increased compute features and functionality. Success in these efforts is not guaranteed and will largely depend on our ability to create products that are competitive in the enterprise market, source additional co-location facilities, manage an uncertain supply chain for server related hardware and adapt our offerings to new or emerging technologies and changes in customer requirements, including those related to artificial intelligence workloads. In addition, we have experienced, and may in the future experience, delays in developing and releasing new products and product enhancements. This could cause our expenses to grow more rapidly than our revenue.</w:t>
      </w:r>
    </w:p>
    <w:p>
      <w:pPr>
        <w:spacing w:after="0" w:line="217"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Trying to innovate through acquisition can be costly and with uncertain prospects for success; we may find that attractive acquisition targets are too expensive for us to pursue which could cause us to pursue more time-consuming internal development.</w:t>
      </w:r>
    </w:p>
    <w:p>
      <w:pPr>
        <w:spacing w:after="0" w:line="190"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Failure to develop, on a cost-effective basis, innovative or enhanced solutions that are attractive to customers and profitable to us could have a material detrimental effect on our business, results of operations, financial condition and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and adapt to changing market conditions, our business will be adversely affected.</w:t>
      </w:r>
    </w:p>
    <w:p>
      <w:pPr>
        <w:spacing w:after="0" w:line="24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We compete in markets that are intensely competitive and rapidly changing. Our current and potential competitors vary by size, product offerings and geographic region and range from start-ups that offer solutions competing with a discrete part of our business to large technology or telecommunications companies that offer, or may be planning to introduce, products and services that are broadly competitive with what we do. The primary competitive factors in our market are differentiation of technology, global presence, quality of solutions, reliability, long-term product roadmap, customer service, technical expertise, security, ease-of-use, breadth of services offered, price and financial strength.</w:t>
      </w:r>
    </w:p>
    <w:p>
      <w:pPr>
        <w:spacing w:after="0" w:line="212"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Many of our current and potential competitors have substantially greater financial, technical and marketing resources, larger customer bases, broader product portfolios, longer operating histories, greater brand recognition and more established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relationships in the industry than we do. This is particularly true with respect to our compute solutions, as a small number of very large competitors have established themselves as leaders in the compute business. As a result, some competitors have in the past and may in the future be able to: develop superior products or services; leverage better name recognition, particularly in the security and compute markets; enter new markets more easily or better manage the impact of changes in general economic conditions, geopolitical conditions and industry pressures; gain greater market acceptance for their products and services; enter into long-term contracts with our potential customers; increase their points of presence and proximity to enterprise data centers and end users faster than us; expand their offerings more efficiently and more rapidly; bundle their products that are competitive with ours with other solutions they offer in a way that makes our offerings less appealing to, or more costly for, current and potential customers; more quickly adapt to new or emerging technologies and changes in customer requirements; take advantage of acquisition, investment and other opportunities more readily; offer lower prices than ours, including at levels that may not be profitable for us to match; spend more money on the promotion, marketing and sales of their products and services; offer higher salaries to talented professionals which may impact our ability to hire or retain engineering and other personnel; and implement shorter sales cycles with customers and prospects.</w:t>
      </w:r>
    </w:p>
    <w:p>
      <w:pPr>
        <w:spacing w:after="0" w:line="21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Smaller and more nimble competitors may be able to: attract customers by offering less sophisticated versions of products and services than we provide at lower prices than those we charge; develop new business models that are disruptive to us; and respond more quickly than we can to new or emerging technologies, changes in customer requirements and market and industry developments, resulting in superior offerings.</w:t>
      </w:r>
    </w:p>
    <w:p>
      <w:pPr>
        <w:spacing w:after="0" w:line="204" w:lineRule="exact"/>
        <w:rPr>
          <w:sz w:val="20"/>
          <w:szCs w:val="20"/>
          <w:color w:val="auto"/>
        </w:rPr>
      </w:pPr>
    </w:p>
    <w:p>
      <w:pPr>
        <w:ind w:right="460" w:firstLine="318"/>
        <w:spacing w:after="0" w:line="304" w:lineRule="auto"/>
        <w:rPr>
          <w:sz w:val="20"/>
          <w:szCs w:val="20"/>
          <w:color w:val="auto"/>
        </w:rPr>
      </w:pPr>
      <w:r>
        <w:rPr>
          <w:rFonts w:ascii="Times New Roman" w:cs="Times New Roman" w:eastAsia="Times New Roman" w:hAnsi="Times New Roman"/>
          <w:sz w:val="17"/>
          <w:szCs w:val="17"/>
          <w:color w:val="auto"/>
        </w:rPr>
        <w:t>Ultimately, any type of increased competition could result in price and revenue reductions, loss of customers and loss of market share or inability to penetrate new markets, each of which could materially impact our business, profitability, financial condition, results of operations and cash flows.</w:t>
      </w:r>
    </w:p>
    <w:p>
      <w:pPr>
        <w:spacing w:after="0" w:line="167"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We and other companies that compete in this industry and these markets experience continually shifting business relationships, reputations, commercial focuses and business priorities, all of which occur in reaction to industry and market forces and the emergence of new opportunities. These shifts have led or could lead to our customers or partners becoming our competitors; customers implementing multi-vendor policies and seeking out one or more of our competitors to provide content and application delivery or security protection services; network suppliers no longer seeking to work with us; and technology companies that previously did not appear to show interest in the markets we seek to address entering into those markets as our competitors. With this constantly changing environment, we may face operational difficulties in adjusting to the changes or our core strategies could become obsolete. Any of these or other developments could harm our business.</w:t>
      </w:r>
    </w:p>
    <w:p>
      <w:pPr>
        <w:spacing w:after="0" w:line="20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Defects or disruptions in our products and IT systems could require us to increase spending on upgrading systems, diminish demand for our solutions or subject us to substantial liability.</w:t>
      </w:r>
    </w:p>
    <w:p>
      <w:pPr>
        <w:spacing w:after="0" w:line="18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Our solutions are highly complex and are designed to be deployed in and across numerous large and complex networks that we do not control. From time to time, we have needed to correct errors and defects in the proprietary and open-source software that underlies our platform that have given rise to service incidents, outages and disruptions or otherwise impacted our operations. We have in the past and could in the future face the loss of customers from these incidents as they seek alternative or supplemental providers. We have also periodically experienced customer dissatisfaction with the quality of some of our delivery, security, compute and other services, which has led to a loss of business and could lead to a loss of customers in the future. Furthermore, most of our customer agreements contain service level commitments. If we fail to meet these contractual commitments, we could be obligated to provide credits for future service, or face contract termination with refunds of prepaid amounts, which could harm our business.</w:t>
      </w:r>
    </w:p>
    <w:p>
      <w:pPr>
        <w:spacing w:after="0" w:line="213"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may not have in place adequate quality assurance procedures to ensure that we detect errors in our hardware, software and open-source components that we use in a timely manner, and we may have insufficient resources to efficiently address multiple service incidents happening simultaneously or in rapid succession. If we are unable to efficiently and cost-effectively fix errors or other problems that we identify and improve the quality of our solutions or systems, or if there are unidentified errors that allow persons to improperly access our services or systems, we could experience litigation, the need to issue credits to customers, loss of revenue and market share, damage to our reputation, diversion of management attention, increased expenses, reduced profitability and other negative consequences which could harm our business.</w:t>
      </w:r>
    </w:p>
    <w:p>
      <w:pPr>
        <w:spacing w:after="0" w:line="212"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Defects in our security solutions or human error could lead to negative publicity, loss of business, damages payments to customers, diminishing customer appeal and other negative consequences which could harm our business. As our solutions are adopted by an increasing number of enterprises and governments, it is possible that the adversaries behind advanced malicious actions will specifically focus on finding ways to defeat our products and services. If they are successful, we could experience a serious impact on our reputation and financial condition as a provider of security solutions.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are devoting significant resources to develop and deploy our own competing compute offering. The rapid development and deployment of new compute infrastructure bears the risk of bugs and unforeseen failures that could affect our reputation and ability to execute our strategies. The risks of such bugs and unforeseen failures introduced to our compute platform by our customers who control many aspects of their use of our compute services and experimental technologies could affect our reputation, ability to execute our strategies and our financial condition. It is also uncertain whether our strategies to develop and deploy our own competing compute offering will attract additional customers or generate enough revenue required to be successful. The costs related to these efforts may also reduce the gross and operating margins we have previously achieved</w:t>
      </w:r>
      <w:r>
        <w:rPr>
          <w:rFonts w:ascii="Arial" w:cs="Arial" w:eastAsia="Arial" w:hAnsi="Arial"/>
          <w:sz w:val="14"/>
          <w:szCs w:val="14"/>
          <w:color w:val="auto"/>
        </w:rPr>
        <w:t>.</w:t>
      </w:r>
      <w:r>
        <w:rPr>
          <w:rFonts w:ascii="Times New Roman" w:cs="Times New Roman" w:eastAsia="Times New Roman" w:hAnsi="Times New Roman"/>
          <w:sz w:val="18"/>
          <w:szCs w:val="18"/>
          <w:color w:val="auto"/>
        </w:rPr>
        <w:t xml:space="preserve"> Failure to adequately and rapidly deploy additional points of presence, increased proximity to enterprise data centers and end users and develop competitive offerings could result in negative publicity, loss of business, diminishing customer appeal and other negative consequences which could harm our business.</w:t>
      </w:r>
    </w:p>
    <w:p>
      <w:pPr>
        <w:spacing w:after="0" w:line="21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business relies on our data systems, traffic measurement systems, billing systems, ordering processes and other operational and financial reporting and control systems. We also rely on third-party software for certain essential operational services and a failure or disruption in these services could materially and adversely affect our ability to manage our business effectively. All of these systems have become increasingly complex due to the complexity of our business, use of third-party software and services, acquisitions of new businesses with different systems and changing regulation over controls and procedures. As a result, these systems have in the past and could in the future generate errors that impact traffic measurement or invoicing, revenue recognition and financial forecasting or other parts of our business. We will need to continue to upgrade and improve our data systems, traffic measurement systems, billing systems, ordering processes and other operational and financial systems, procedures and controls. These upgrades and improvements may be difficult and costly. If we are unable to adapt our systems and organization in a timely, efficient and cost-effective manner to accommodate changing circumstances, our business may be adversely affected.</w:t>
      </w:r>
    </w:p>
    <w:p>
      <w:pPr>
        <w:spacing w:after="0" w:line="210"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attacks on us, our contractors or our third-party vendors, as well as steps we need to take in an effort to prevent them, can lead to significant costs and disruptions that would harm our business, financial results and reputation.</w:t>
      </w:r>
    </w:p>
    <w:p>
      <w:pPr>
        <w:spacing w:after="0" w:line="187"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We regularly face attempts to gain unauthorized access or deliver malicious software to Akamai's platforms, products and services and our internal IT systems, with the goal of stealing proprietary information related to our business, products, employees and customers; disrupting our systems and services or those of our customers or others; or demanding ransom to return control of such systems and services. These attempts take a variety of forms, including Distributed Denial of Service ("DDoS") attacks, infrastructure attacks, botnets, malicious file uploads, application abuse, credential abuse, social engineering, ransomware, bugs, viruses, worms and malicious software programs. Additionally, the use of artificial intelligence by bad actors has heightened the sophistication and effectiveness of these types of attacks, and may be used to create attacks that current processes and technologies are unable to adequately address. There have in the past and could in the future be attempts to infiltrate our systems through our supply chain and contractors. Malicious actors are known to attempt to fraudulently induce employees and suppliers to disclose sensitive information through illegal electronic spamming, phishing or other tactics. Other parties may attempt to gain unauthorized physical access to our facilities in order to infiltrate our internal-use information systems. Furthermore, nation state and hacktivist attacks against us or our customers have in the past and may in the future intensify during periods of heightened geopolitical tensions or armed conflict, such as the ongoing war in Ukraine and the Israel-Hamas War. We may not be able to anticipate the techniques used in such attacks, as they change frequently and may not be recognized until launched. The rapidly changing geopolitical landscape may also create new, unexpected, or unknown risks for which we may not immediately be prepared, requiring increased risk mitigation expenditures. While we have, from time to time, experienced threats to and breaches of our and our third-party vendors' data and systems, to date, to our knowledge, cyber threats and other attacks have not resulted in any material adverse effect to our business or operations, but such threats are constantly evolving, increasing the difficulty of detecting and successfully defending against them.</w:t>
      </w:r>
    </w:p>
    <w:p>
      <w:pPr>
        <w:spacing w:after="0" w:line="222"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The complexities in managing the security profile of a distributed network with vast scale and geographic reach that evolves to incorporate new capabilities expose us to both known and unknown vulnerabilities. We have discovered vulnerabilities in software and hardware used in our technology, such as the AMD "Inception" vulnerability identified in mid-2023 that potentially impacted a large portion of the internet ecosystem, and may have other undiscovered vulnerabilities. Vulnerabilities, resident in software, hardware or configurations, have in the past and may in the future require significant operational efforts to mitigate and may persist for extended periods of time and the effects of any such vulnerability could be exacerbated. Similar security risks exist with respect to acquired companies, our business partners and the third-party vendors that we rely on for aspects of our information technology support services and administrative functions. As a result, we are subject to risks that the activities of our business partners and third-party vendors may adversely affect our business even if an attack or breach does not directly target our systems.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To protect our corporate and deployed networks, we aim to continuously engineer more secure solutions, enhance security and reliability features, improve the deployment of software updates to address security vulnerabilities, develop mitigation technologies that help to secure customers from attacks and maintain the digital security infrastructure that protects the integrity of our network and services. For example, our ongoing efforts to continually enhance the security and reliability of our globally distributed infrastructure, customer applications and corporate systems comprise various initiatives and mitigation efforts, including but not limited to upgrading access and configuration controls; improving security instrumentation, monitoring, detection and prevention tools; enhancing software inventory and tracking and patching systems; upgrading encryption processes and protections; enhancing authorization methods in applications; enhancing data loss prevention and endpoint security management capabilities; upgrading vulnerability identification, assessment and remediation processes and technologies; and enhancing the security of passwords and other credentials, as applicable and appropriate. Our efforts to engineer more secure solutions are frequently costly, with a negative impact on near-term profitability, and may be unsuccessful in preventing security incidents that may have an adverse effect on our business and reputation.</w:t>
      </w:r>
    </w:p>
    <w:p>
      <w:pPr>
        <w:spacing w:after="0" w:line="22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For example, with the acquisition of Linode, we continue to adapt procedures for mitigating risks that have in the past or may in the future materialize, including any harms that may arise from abuse of our compute products. If we fail to mitigate these harms or if there is a significant cybersecurity event using our compute products or our compute products are perceived to be less reliable than our competitors, it could result in loss of customers and reputational damage.</w:t>
      </w:r>
    </w:p>
    <w:p>
      <w:pPr>
        <w:spacing w:after="0" w:line="207" w:lineRule="exact"/>
        <w:rPr>
          <w:sz w:val="20"/>
          <w:szCs w:val="20"/>
          <w:color w:val="auto"/>
        </w:rPr>
      </w:pPr>
    </w:p>
    <w:p>
      <w:pPr>
        <w:ind w:right="380" w:firstLine="318"/>
        <w:spacing w:after="0" w:line="255" w:lineRule="auto"/>
        <w:rPr>
          <w:sz w:val="20"/>
          <w:szCs w:val="20"/>
          <w:color w:val="auto"/>
        </w:rPr>
      </w:pPr>
      <w:r>
        <w:rPr>
          <w:rFonts w:ascii="Times New Roman" w:cs="Times New Roman" w:eastAsia="Times New Roman" w:hAnsi="Times New Roman"/>
          <w:sz w:val="18"/>
          <w:szCs w:val="18"/>
          <w:color w:val="auto"/>
        </w:rPr>
        <w:t>Any actual, alleged or perceived breach of network security in our systems or networks, or any other actual, alleged or perceived compromise or data security incident we, our customers or our third-party suppliers suffer, has in the past and could in the future result in damage to our reputation; negative publicity; loss of channel partners, customers and sales; loss of revenue; loss of competitive advantages; increased costs to remedy any problems and otherwise respond to any incident; regulatory investigations and enforcement actions and fines; costly litigation; and other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compatibility with our customers’ IT infrastructure, including their chosen third-party services, our business will be harmed.</w:t>
      </w:r>
    </w:p>
    <w:p>
      <w:pPr>
        <w:spacing w:after="0" w:line="248"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Our products interoperate with our customers' IT infrastructures that often have different specifications, utilize diverse technology and require compatibility with multiple communication protocols. Therefore, the functionality of our technology often needs to have, and maintain, compatibility with our customers' technology environment, including their chosen third-party technology. Aspects of our technology's compatibility with our customers' technology is dependent on our customers because our customers, and in particular those who implement third-party applications within their environments, may change features, restrict our access to, or alter their applications within their discretion and in a manner that causes incompatibilities or causes us significant costs to maintain compatibility. Such changes could functionally limit or prevent the compatibility of our products with our customers’ IT infrastructure, which would negatively affect adoption of our products and harm our business. If we fail to update our products to achieve compatibility with new third-party applications that our customers use, we may not be able to offer the functionality that our customers need, which would harm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global operations that could harm our business.</w:t>
      </w:r>
    </w:p>
    <w:p>
      <w:pPr>
        <w:spacing w:after="0" w:line="248"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A significant portion of our hiring, new customers and revenue growth in recent years has been attributable to our business outside the U.S. Our operations in international countries subject us to risks that may increase our costs, impact our financial results, disrupt our operations or make our operations less efficient and require significant management attention. These risks include: foreign exchange rate risks; uncertainty regarding liability for content or services, including uncertainty as a result of local laws and lack of legal precedent; loss of revenues if the U.S. or international governments impose limitations on doing business with significant current or potential customers; difficulty in staffing, training, developing and managing international operations as a result of distance, language, cultural differences, differences in employee/employer relationships or regulations; theft of intellectual property in high-risk countries where we operate; difficulties in enforcing contracts, collecting accounts and longer payment cycles in certain countries; difficulties in transferring funds from, or converting currencies in, certain countries; managing the costs and processes necessary to comply with export control, sanctions, such as the sanctions imposed in connection with the Russian invasion of Ukraine, anti-bribery, data protection, cybersecurity and competition laws and regulations or other regulatory or contractual limitations on our ability to sell or develop our products and services in certain international markets; macroeconomic developments and changes in the labor markets in which we operate; geopolitical developments, including any that impact our or our customers’ ability to operate in or deliver content to a country; other circumstances outside of our control such as trade disputes, including the imposition of tariffs by the United States on imports from certain countries and any resulting counter-tariffs or macroeconomic impacts, political unrest, warfare, military or armed conflict, such as the Russian invasion of Ukraine and the Israel-Hamas War, terrorist attacks, public health emergencies, energy crises and natural disasters that could disrupt our ability to provide services or limit customer purchases of them.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For example, approximately six percent of our global employees are located in Israel and have been and may continue to be impacted by the Israel-Hamas War. A number of our employees have been, and more may be, required to report for military duty which could impact our ability to operate and successfully complete ongoing initiatives particularly with respect to our security offerings and our efforts to move our internal applications from third-party clouds to our compute platform. Furthermore, a widening of the conflict in the Middle East or further escalation could lead to broader geopolitical destabilization and macro-economic impacts.</w:t>
      </w:r>
    </w:p>
    <w:p>
      <w:pPr>
        <w:spacing w:after="0" w:line="212"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In addition, we are subject to laws and regulations worldwide that differ among jurisdictions, affecting our operations in areas such as intellectual property ownership and infringement; tax; anti-bribery; internet and technology regulations; so-called "fair share" or internet content taxes; foreign exchange controls and cash repatriation; data privacy; cyber security; competition; consumer protection; corporate sustainability; and employment. Compliance with such requirements can be onerous and expensive and may otherwise impact our business operations negatively. Although we have policies, controls and procedures designed to help ensure compliance with applicable laws, there can be no assurance that our employees, contractors, suppliers, customers or agents will not violate such laws or our policies. Violations of these laws and regulations can result in fines; additional costs related to governmental investigations; criminal sanctions against us, our officers or our employees; prohibitions on the conduct of our business; and damage to our reputation.</w:t>
      </w:r>
    </w:p>
    <w:p>
      <w:pPr>
        <w:spacing w:after="0" w:line="196"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depends on the ability to source adequate transmission capacity, co-location facilities and the equipment we need to operate our network; failure to have access to those resources could lead to loss of revenue and service disruptions.</w:t>
      </w:r>
    </w:p>
    <w:p>
      <w:pPr>
        <w:spacing w:after="0" w:line="187"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To operate and grow our globally distributed network serving our portfolio of services, we are dependent in part upon transmission capacity provided by third-party telecommunications network providers, the availability of co-location facilities to house our servers and equipment to support our operations. We may be unable to purchase the bandwidth and space we need from these providers due to limitations on their resources, increasing energy costs or other reasons outside of our control. In particular, our efforts to increase the size and scale of our network infrastructure have required and may continue to require procuring significant additional space in co-location facilities. Inability to access facilities where we would like to install servers, or perform maintenance on existing servers for any reason impedes our ability to expand or maintain capacity. As a result, there can be no assurance that we are adequately prepared for unexpected increases in capacity demands by our customers. Failure to put in place the capacity we require to operate our business effectively could result in a reduction in, or disruption of, service to our customers and ultimately a loss of those customers.</w:t>
      </w:r>
    </w:p>
    <w:p>
      <w:pPr>
        <w:spacing w:after="0" w:line="21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Akamai's platforms, products and services rely on hardware equipment, including hundreds of thousands of servers deployed around the world. Disruptions in our supply chain have occurred in the past and could prevent us from purchasing needed equipment at attractive prices or at all. For example, we are experiencing continued volatility in certain server component costs that support the continued build out of our compute platform. In addition, from time to time, it has been, and may continue to be, more difficult to purchase equipment that is manufactured in areas that face disruptions to operations due to unrest, trade sanctions or other political activity, public health issues, safety issues, natural disasters or general economic conditions. For example, tariffs imposed by the United States on other countries and any resulting counter-tariffs will likely lead to increasing costs and supply chain disruptions. Failure to have adequate equipment, including server and other networking equipment, could harm the quality of our services, which could lead to the loss of customers and revenue.</w:t>
      </w:r>
    </w:p>
    <w:p>
      <w:pPr>
        <w:spacing w:after="0" w:line="213"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Acquisitions and other strategic transactions could result in operating difficulties, dilution, diversion of management attention and other harmful consequences that may adversely impact our business and results of operations.</w:t>
      </w:r>
    </w:p>
    <w:p>
      <w:pPr>
        <w:spacing w:after="0" w:line="187"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We expect to continue to pursue acquisitions and other types of strategic relationships that involve technology sharing or close cooperation with other companies. Acquisitions and other complex transactions are accompanied by a number of risks, including the following: difficulty integrating technologies, operations and personnel while maintaining the quality standards; potential disruptions of our ongoing business and distraction of management attention; diversion of financial and business resources from core operations or other attractive investments; financial consequences, such as increased operating expenses, incurrence of material post-closing liabilities, incurrence of additional debt and other dilutive effects on our earnings, particularly in the current environment where we have seen relatively high valuations of, and valuation expectations for, many technology companies and increasing allocation of risk to acquirors; failure to realize synergies or other expected benefits; lawsuits resulting from an acquisition or disposition; the inability to retain the acquired company's key talent; exposure to cybersecurity risks and the cost associated with remediating those risks in connection with the acquisition of IT systems; increased accounting charges such as impairment of goodwill or intangible assets, amortization of intangible assets acquired and a reduction in the useful lives of intangible assets acquired; the need to use substantial portions of available cash or dilutive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issuances of securities to finance large transactions; and potential unknown liabilities and regulatory requirements associated with an acquired business.</w:t>
      </w:r>
    </w:p>
    <w:p>
      <w:pPr>
        <w:spacing w:after="0" w:line="24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data practices and technology systems of businesses that we have acquired, or may acquire, and our efforts to integrate our acquisitions with our existing technologies have in the past and may in the future pose risks, such as cybersecurity vulnerabilities or past cybersecurity or privacy incidents. Following an acquisition, we work to enhance the security and reliability of our systems. As such, there is a period of increased cybersecurity risk during the period between closing an acquisition and the completion of our security upgrades and integration. For example, as part of the integration of the Linode compute platform into Akamai's platform and the migration of certain applications and products from third party cloud providers onto Akamai's compute platform, we have been working to enhance the security and reliability of the integrated systems. While we continue to make progress on these efforts, the mitigation of a number of risks is ongoing and thus certain underlying vulnerabilities remain that, if exploited, could negatively impact Akamai's platform and our customers. Despite our efforts to enhance the security and reliability of our systems, our information technology systems and those of third parties with whom we do business or communicate may be damaged, disrupted, or shut down due to attacks by unauthorized access, malicious software, computer viruses, undetected intrusion, hardware failures, or other events. In addition, our disaster recovery plans may be ineffective or inadequate.</w:t>
      </w:r>
    </w:p>
    <w:p>
      <w:pPr>
        <w:spacing w:after="0" w:line="220"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Any inability to integrate completed acquisitions or combinations in an efficient and timely manner could have an adverse impact on our results of operations.</w:t>
      </w:r>
    </w:p>
    <w:p>
      <w:pPr>
        <w:spacing w:after="0" w:line="186"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current and potential large customers shift to DIY internal solutions for content and application delivery or security protection, our business will be negatively impacted.</w:t>
      </w:r>
    </w:p>
    <w:p>
      <w:pPr>
        <w:spacing w:after="0" w:line="187"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are reliant on some of our larger customers to direct traffic to our network for a significant part of our revenues. At times, some of our customers have determined that it is better for them to employ a “do-it-yourself” or “DIY” strategy by putting in place equipment, software and other technology solutions for content and application delivery and security protection within their internal systems instead of using our solutions for some or all of their needs. As the amount of money a customer spends with us increases, the risk that they will seek alternative solutions such as DIY or a multi-vendor policy likewise increases. While the number of customers implementing a DIY strategy had been decreasing, current global economic and geopolitical conditions may cause customers to increase their focus on DIY solutions, which could negatively impact traffic on our network, and, as a result, our revenue. For example, a large social media customer has recently taken steps to lower costs and reduce reliance on U.S. providers by optimizing its platform, including using a DIY component, which has reduced traffic on our network and negatively impacted our revenue in 2024 and is likely to continue to do so in the future. If our customers increase their use of DIY solutions or if multiple additional large customers shift to this model, traffic on our network and our contracted revenue commitments could decrease more significantly, which could negatively impact our business, profitability, financial condition, results of operations and cash flows.</w:t>
      </w:r>
    </w:p>
    <w:p>
      <w:pPr>
        <w:spacing w:after="0" w:line="214"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employees and qualified sales, research and development, technical, marketing and support personnel, our ability to compete could be harmed.</w:t>
      </w:r>
    </w:p>
    <w:p>
      <w:pPr>
        <w:spacing w:after="0" w:line="187"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Our future success depends upon the services of our executive officers and other key technology, sales, research and development, marketing and support personnel who have critical industry experience and relationships. Attracting, hiring and retaining highly skilled and qualified employees continues to be a priority and a key dependency for our ongoing success. If we fail to attract new personnel, fail to retain and motivate our current personnel or fail to effectively train our employees to support our business needs, our business and future growth prospects could suffer. For example, none of our officers or key employees are bound by an employment agreement for any specific term, and members of our senior management have left our company over the years for a variety of reasons. In addition, effective succession planning is important to our long-term success and our failure to ensure effective transfer of knowledge and smooth transitions involving our officers and other key personnel could hinder our strategic planning and execution.</w:t>
      </w:r>
    </w:p>
    <w:p>
      <w:pPr>
        <w:spacing w:after="0" w:line="213"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In addition, our future success will depend upon our ability to attract, train and retain employees, particularly in our expected areas of growth such as security and cloud computing. Such efforts will require time, expense and attention by our employees as there is significant competition for talented individuals. This competition results in increased costs in the form of cash and stock-based compensation and can have a dilutive impact on our stock. In addition, our ability to hire and retain employees may be adversely affected by volatility in the price of our stock or our ability to obtain shareholder approval to offer additional stock to our employees, because a significant portion of our compensation is in the form of equity grants. We are retasking certain employees to work on our compute solutions which will require the use of our resources and if we are unable to successfully retrain our employees, our compute business may suffer. Furthermore, geopolitical events may impact our</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retention efforts. For example, the Israel-Hamas War has and could continue to impact our workforce in Israel as employees have been and may continue to be required to report for military service or have other competing priorities. The loss of the services of a significant number of our employees or any of our key employees or our inability to attract and retain new talent in a timely fashion may be disruptive to our operations and overall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maintain our company culture and manage new risks as our business evolves and our work practices change could harm us.</w:t>
      </w:r>
    </w:p>
    <w:p>
      <w:pPr>
        <w:spacing w:after="0" w:line="248" w:lineRule="exact"/>
        <w:rPr>
          <w:sz w:val="20"/>
          <w:szCs w:val="20"/>
          <w:color w:val="auto"/>
        </w:rPr>
      </w:pPr>
    </w:p>
    <w:p>
      <w:pPr>
        <w:jc w:val="both"/>
        <w:ind w:right="740" w:firstLine="318"/>
        <w:spacing w:after="0" w:line="259"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As a result of the diversification of our business, personnel growth, the deployment of our FlexBase program, acquisitions and international expansion in recent years, most of our employees are now based outside of our Cambridge, Massachusetts headquarters.</w:t>
      </w:r>
    </w:p>
    <w:p>
      <w:pPr>
        <w:spacing w:after="0" w:line="204"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If we are unable to appropriately increase management depth, enhance succession planning and decentralize our decision-making at a pace commensurate with our actual or desired growth rates, we may not be able to achieve our financial or operational goals. It is also important to our continued success that we hire qualified personnel, properly train them and manage poorly-performing personnel, all while maintaining our corporate culture and spirit of innovation. If we are not successful in these efforts, our growth and operations could be adversely affected.</w:t>
      </w:r>
    </w:p>
    <w:p>
      <w:pPr>
        <w:spacing w:after="0" w:line="207"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We rolled out our FlexBase program in May 2022, which allows the more than 95% of our workforce designated as flexible to choose to work from an Akamai office, their home office, an approved workspace, or a combination of all three. This program could, among other things, negatively impact employee morale and productivity, inhibit our ability to effectively train new employees and impede our ability to support customers at the levels they expect. In addition,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access company data and systems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Further, if employees fail to inform us of changes in their work location, we may be exposed to additional risks without our knowledge. If we are unable to effectively maintain a hybrid workforce, manage the cybersecurity and other risks of remote work and maintain our corporate culture and workforce morale, our business could be harmed or otherwise negatively impacted.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restructuring and reorganization activities may be disruptive to our operations and harm our business.</w:t>
      </w:r>
    </w:p>
    <w:p>
      <w:pPr>
        <w:spacing w:after="0" w:line="248"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Over the past several years, we have implemented internal restructurings and reorganizations designed to reduce the size and cost of our operations, improve operational efficiencies and reprioritize investments, enhance our ability to pursue market opportunities and accelerate our technology development initiatives. During the first quarter of 2023 and the third quarter of 2024, management committed to actions to restructure certain parts of the Company, including reducing headcount, to enable it to prioritize investments in the fastest growing areas of the business and redeploy resources to support the Company's strategic investments. We may take similar steps in the future as we seek to realize operating synergies, optimize our operations to achieve our target operating model and profitability objectives, respond to market forces or better reflect changes in the strategic direction of our business. Disruptions in operations may occur as a result of taking these actions. Taking these actions may also result in significant expense, including with respect to workforce reductions, decreased productivity due to employee distraction and unanticipated employee turnover. Substantial expense or business disruptions resulting from restructuring and reorganization activities could adversely affect our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greater-than-anticipated tax liabilities.</w:t>
      </w:r>
    </w:p>
    <w:p>
      <w:pPr>
        <w:spacing w:after="0" w:line="248"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Our future income taxes could be adversely affected by earnings being lower than anticipated in jurisdictions that have lower statutory tax rates and higher than anticipated in jurisdictions that have higher statutory tax rates, or changes in tax laws, regulations or accounting principles, as well as certain discrete items such as equity-related compensation. The Organisation for Economic Co-operation and Development (“OECD”) and participating OECD member countries continue to work toward the enactment of a 15% global minimum corporate tax rate for large multinational enterprise groups, also known as "Pillar Two". Many of the participating countries have enacted legislation that became effective beginning in 2024, while other countries continue to work on defining the underlying rules and administrative procedures. Although the enacted and effective legislation in some countries was applicable to us as of January 1, 2024, and increased our effective income tax rate, the increase did not</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a material impact on our overall results of operations or cash flows. We will continue to monitor and evaluate the impacts of the developing legislation.</w:t>
      </w:r>
    </w:p>
    <w:p>
      <w:pPr>
        <w:spacing w:after="0" w:line="25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have recorded certain tax reserves to address potential exposures involving our income tax and indirect tax positions. These potential tax liabilities result from the varying application of statutes, rules, regulations and interpretations by different jurisdictions. We are currently subject to tax audits in various jurisdictions. If the ultimate outcome of any tax audits are adverse to us, our reserves may not be adequate to cover our total actual liability, and we would need to take a financial charge. Although we believe our estimates, our reserves and the positions we have taken in all jurisdictions are reasonable, the ultimate tax outcome may differ from the amounts recorded in our financial statements and may materially affect our financial results in the period or periods for which such determination is made.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affect our reported operating results in U.S. dollar terms.</w:t>
      </w:r>
    </w:p>
    <w:p>
      <w:pPr>
        <w:spacing w:after="0" w:line="248" w:lineRule="exact"/>
        <w:rPr>
          <w:sz w:val="20"/>
          <w:szCs w:val="20"/>
          <w:color w:val="auto"/>
        </w:rPr>
      </w:pPr>
    </w:p>
    <w:p>
      <w:pPr>
        <w:jc w:val="both"/>
        <w:ind w:right="40" w:firstLine="318"/>
        <w:spacing w:after="0" w:line="259"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w:t>
      </w:r>
    </w:p>
    <w:p>
      <w:pPr>
        <w:spacing w:after="0" w:line="204"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This exposure is the result of selling in multiple currencies, headcount in foreign locations and operating in countries where the functional currency is the local currency. Revenue generated and expenses incurred by our international subsidiaries are often denominated in their local currencies, but many of our expenses related to our operations in foreign jurisdictions are denominated in U.S. dollars. As a result, our consolidated U.S. dollar financial statements are subject to fluctuations due to changes in exchange rates as the financial results of our international subsidiaries are translated from local currencies into U.S. dollars. For example, in 2024, the strength of the U.S. dollar had a negative impact on our revenue and a positive impact on our operating expenses. In addition, our financial results are subject to changes in exchange rates that impact the settlement of transactions in non-functional currencies.</w:t>
      </w:r>
    </w:p>
    <w:p>
      <w:pPr>
        <w:spacing w:after="0" w:line="213"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In addition, we have recently experienced increased volatility in foreign currency exchange rates, due to a number of factors, including geopolitical and economic developments. We may not be able to effectively manage such volatility, and our financial results have in the past and could in the future be adversely impacted as a result of such volatility. In addition, such volatility, even when it increases our revenues or decreases our expenses, impacts our ability to accurately predict our future results and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clients subject us to risks, including early termination, audits, investigations, sanctions and penalties.</w:t>
      </w:r>
    </w:p>
    <w:p>
      <w:pPr>
        <w:spacing w:after="0" w:line="248"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We have customer contracts with the U.S. government, as well as international, state and local governments and their respective agencies and we may in the future increase sales to government entities. Sales to government entities are subject to a number of risks. Selling to government entities can be highly competitive, expensive and time consuming, often requiring significant upfront time and expense without any assurance that these efforts will generate a sale. Such government entities often have the right to terminate these contracts at any time, without cause. There is increased pressure for governments and their agencies, both domestically and internationally, to reduce spending and demand and payment for our services may be impacted by public sector budgetary cycles and funding authorizations. These factors may combine to potentially limit the revenue we derive from government contracts in the future. Additionally, government contracts generally have requirements that are more complex than those found in commercial enterprise agreements and therefore are more costly to comply with. Such contracts are also subject to audits and investigations that could result in civil and criminal penalties and administrative sanctions, including contract termination, fee refunds, forfeiture of profits, suspension of payments, fines and suspensions or debarment from future government business.</w:t>
      </w:r>
    </w:p>
    <w:p>
      <w:pPr>
        <w:spacing w:after="0" w:line="216"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utilize third-party technology in our business, and failures or vulnerabilities, and/or litigation, related to these technologies may adversely affect our business.</w:t>
      </w:r>
    </w:p>
    <w:p>
      <w:pPr>
        <w:spacing w:after="0" w:line="187"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We utilize third-party technology software, services and other technology to operate critical functions of our business, including the integration of certain of these technologies into our network, products and services. If these software, services, or other technology become unavailable, malfunction or contain vulnerabilities, our expenses could increase and our ability to operate our network, provide our products and our results of operations could be impaired until equivalent software, technology, or services are purchased or developed or any identified vulnerabilities or malfunctioning are remedied. If we are unable to procure the necessary third-party technology we may need to acquire or develop alternative technology, or we may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have to resort to utilizing alternative technology of lower quality. This could limit and delay our ability to offer new or competitive products and increase our costs of production. As a result, our business could be significantly harmed. In addition, the use of third-party technology may expose us to third-party claims of intellectual property infringement which could cause us to incur significant costs in defense or alternative sourcing.</w:t>
      </w:r>
    </w:p>
    <w:p>
      <w:pPr>
        <w:spacing w:after="0" w:line="200"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rely on certain “open-source” software, which may contain security flaws or other deficiencies, and the use of which could result in our having to distribute our proprietary software, including source code, to third parties on unfavorable terms, either of which could materially affect our business.</w:t>
      </w:r>
    </w:p>
    <w:p>
      <w:pPr>
        <w:spacing w:after="0" w:line="1" w:lineRule="exact"/>
        <w:rPr>
          <w:sz w:val="20"/>
          <w:szCs w:val="20"/>
          <w:color w:val="auto"/>
        </w:rPr>
      </w:pPr>
    </w:p>
    <w:p>
      <w:pPr>
        <w:ind w:firstLine="318"/>
        <w:spacing w:after="0" w:line="246" w:lineRule="auto"/>
        <w:rPr>
          <w:sz w:val="20"/>
          <w:szCs w:val="20"/>
          <w:color w:val="auto"/>
        </w:rPr>
      </w:pPr>
      <w:r>
        <w:rPr>
          <w:rFonts w:ascii="Times New Roman" w:cs="Times New Roman" w:eastAsia="Times New Roman" w:hAnsi="Times New Roman"/>
          <w:sz w:val="18"/>
          <w:szCs w:val="18"/>
          <w:color w:val="auto"/>
        </w:rPr>
        <w:t>Certain of our offerings use software that is subject to open-source licenses. Open-source code is software that is freely accessible, usable and modifiable; however, certain open-source code is governed by license agreements, the terms of which could require users of such software to make any derivative works of the software available to others on unfavorable terms or at no cost. Because we use open-source code, we may be required to take remedial action in order to protect our proprietary software. Such action could include replacing certain source code used in our software, discontinuing certain of our products or taking other actions that could be expensive and divert resources away from our development efforts. In addition, the terms relating to disclosure of derivative works in many open-source licenses are unclear and have not been interpreted by U.S. courts. If a court interprets one or more such open-source licenses in a manner that is unfavorable to us, we could be required to make certain of our key software generally available at no cost. We could also be subject to similar conditions or restrictions should there be any changes in the licensing terms of the open-source software incorporated into our products. In either event, we could be required to seek licenses from third parties in order to continue offering our products, to re-engineer our products or to discontinue the sale of our products in the event re-engineering cannot be accomplished on a timely or successful basis, any of which could adversely affect our business, operating results and financial condition. Furthermore, open-source software may have security flaws and other deficiencies that could make our solutions less reliable and damage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p>
    <w:p>
      <w:pPr>
        <w:spacing w:after="0" w:line="248" w:lineRule="exact"/>
        <w:rPr>
          <w:sz w:val="20"/>
          <w:szCs w:val="20"/>
          <w:color w:val="auto"/>
        </w:rPr>
      </w:pPr>
    </w:p>
    <w:p>
      <w:pPr>
        <w:ind w:right="60" w:firstLine="636"/>
        <w:spacing w:after="0" w:line="249" w:lineRule="auto"/>
        <w:rPr>
          <w:sz w:val="20"/>
          <w:szCs w:val="20"/>
          <w:color w:val="auto"/>
        </w:rPr>
      </w:pPr>
      <w:r>
        <w:rPr>
          <w:rFonts w:ascii="Times New Roman" w:cs="Times New Roman" w:eastAsia="Times New Roman" w:hAnsi="Times New Roman"/>
          <w:sz w:val="18"/>
          <w:szCs w:val="18"/>
          <w:color w:val="auto"/>
        </w:rPr>
        <w:t>Artificial intelligence ("AI"), presents new risks and challenges that may affect our business. We have made, and expect to continue to make investments to integrate AI and machine learning technology into our products and solutions. Given the nature of AI technology, we face significant competition from other companies and an evolving regulatory landscape. Our AI efforts may not be successful and our competitors may incorporate AI into their products more successfully than us, which could impair our ability to compete effectively and adversely affect our financial results. The rapid evolution of AI combined with the uncertain and often inconsistent regulatory landscape may require significant additional resources and costs and could in some cases limit our ability to implement AI capabilities in our solutions or to use AI to support business operations. Further, data used to train AI-based systems may lead to harm to our reputation. Despite our implementation of programs designed to support responsible AI use and development, we may not successfully address all issues that may arise. For example, privacy concerns, user consent, supply chain security, transparency and the accuracy, completeness and suitability of data sets are all potential issues that could adversely affect our business, reputation, or financial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privacy regulations could negatively impact our profitability and business operations.</w:t>
      </w:r>
    </w:p>
    <w:p>
      <w:pPr>
        <w:spacing w:after="0" w:line="248"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The nature and breadth of laws and regulations, or expanded interpretation of these laws and regulations, that relate to privacy on the internet and international data transfer restrictions may increase in the future. Accordingly, we are unable to assess the possible effect of compliance with future requirements or whether our compliance efforts will materially impact our business, results of operations or financial condition, as well as increase expenses or create other disadvantages to our business.</w:t>
      </w:r>
    </w:p>
    <w:p>
      <w:pPr>
        <w:spacing w:after="0" w:line="207"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Privacy laws are rapidly proliferating, changing and evolving globally. Governments, private citizens and privacy advocates with class action attorneys are increasingly scrutinizing how companies collect, process, use, store, share and transmit personal data. Numerous laws, such as the European Union's General Data Protection Regulation ("GDPR"), and the California Consumer Privacy Act of 2018 ("CCPA"), and industry self-regulatory codes have been enacted, and more laws are being considered that may affect how we use data generated from our network as well as our ability to reach current and prospective customers, understand how our solutions are being used and respond to customer requests allowed under the laws. Any perception that our business practices, our data collection activities or how our solutions operate represent an invasion of privacy or improper practice, whether or not consistent with current regulations and industry practices, may subject us to public criticism or boycotts, class action lawsuits, reputational harm, or actions by regulators, or claims by industry groups or other third parties, all of which could disrupt our business and expose us to liability.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Engineering efforts to build new capabilities to facilitate compliance with increasing international data transfer restrictions and new and changing privacy laws and related customer demands could require us to take on substantial expenses and divert engineering resources from other projects. We might experience reduced demand for our offerings if we are unable to engineer products that meet our legal duties or help our customers meet their obligations under the GDPR, the CCPA or other applicable data regulations, or if the changes we implement to comply with such laws and regulations make our offerings less attractive.</w:t>
      </w:r>
    </w:p>
    <w:p>
      <w:pPr>
        <w:spacing w:after="0" w:line="21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Our ability to leverage the data generated by our global networks is important to the value of many of the solutions we offer, our operational efficiency and future product development opportunities. Our ability to use data in this way may be constrained by regulatory developments. Compliance with applicable laws and regulations regarding personal data may require changes in services, business practices or internal systems that result in increased costs, lower revenue, reduced efficiency or greater difficulty in competing with other companies.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21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Our security controls over personal data, our training of employees and third parties on privacy, data security and other ethical data use practices we follow may not prevent the improper disclosure or misuse of customer or end-user data we process. Improper disclosure or misuse of personal data could harm our reputation, lead to legal exposure to customers or end users, or subject us to liability under laws that protect personal data, resulting in increased costs or loss of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developments could negatively impact our business.</w:t>
      </w:r>
    </w:p>
    <w:p>
      <w:pPr>
        <w:spacing w:after="0" w:line="24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U.S. and international laws and regulations that apply to the internet related to, among other things, content liability, security requirements, law enforcement access to information, critical infrastructure, net neutrality, so-called "fair share" or internet content taxes, international data transfer restrictions, sanctions, export controls and restrictions on social media or other platforms, applications or content could pose risks to our revenues, intellectual property and customer relationships as well as increase expenses or create other disadvantages to our business. Section 230 of the U.S. Communications Decency Act, often referred to as Section 230, gives websites that host user-generated content broad protection from legal liability for content posted on their sites. Proposals to repeal or amend Section 230 could expose us to greater legal liability in the conduct of our business. Our Acceptable Use Policy prohibits customers from using our network to deliver illegal or inappropriate content; if customers violate that policy, we may nonetheless face reputational damage, enforcement actions or lawsuits related to their content. Further, laws and regulations related to content could cause internet service providers, or others, to block our products in order to enforce content-blocking efforts. Efforts to block a single product or domain name may end up blocking a number of other products or domain names in an overbroad manner that could affect our business.</w:t>
      </w:r>
    </w:p>
    <w:p>
      <w:pPr>
        <w:spacing w:after="0" w:line="220" w:lineRule="exact"/>
        <w:rPr>
          <w:sz w:val="20"/>
          <w:szCs w:val="20"/>
          <w:color w:val="auto"/>
        </w:rPr>
      </w:pPr>
    </w:p>
    <w:p>
      <w:pPr>
        <w:ind w:firstLine="636"/>
        <w:spacing w:after="0" w:line="263" w:lineRule="auto"/>
        <w:rPr>
          <w:sz w:val="20"/>
          <w:szCs w:val="20"/>
          <w:color w:val="auto"/>
        </w:rPr>
      </w:pPr>
      <w:r>
        <w:rPr>
          <w:rFonts w:ascii="Times New Roman" w:cs="Times New Roman" w:eastAsia="Times New Roman" w:hAnsi="Times New Roman"/>
          <w:sz w:val="17"/>
          <w:szCs w:val="17"/>
          <w:color w:val="auto"/>
        </w:rPr>
        <w:t>Regulations have also been enacted or proposed in a number of countries that limit the delivery of certain types of content into those countries. Enactment and expansion of such laws and regulations would negatively impact our revenues. For example, restrictions were adopted in India in 2020 prohibiting access to identified Chinese-owned applications which caused a reduction in revenue to us. In addition, in April 2024, the U.S. government passed legislation that prohibited the provision of certain types of services to a Chinese application if the application was not sold to a neutral third party by January 19, 2025. The Chinese application was not sold to a neutral third party by the January 19th deadline, but President Trump subsequently signed an executive order instructing the U.S. Attorney General to not take any action to enforce the passed legislation for a period of 75 days from January 20, 2025. The Attorney General has since determined that our provision of services to this customer has not violated the law and that we can continue providing services as contemplated by the Executive Order without violating the law and without incurring any legal liability. In the past year, this customer has taken steps to lower costs and reduce reliance on U.S. providers by optimizing its platform, including using a DIY component. This has negatively impacted revenue growth rates in 2024, and we expect revenue from this customer to decline over the next few years, regardless of whether this legislation is enforced or takes effect. It is difficult to predict whether the passed legislation will ultimately be enforced and whether any future judicial challenges brought against the Executive Order will be successful. Even though President Trump has extended the enforcement deadline for a ban on the Chinese application, there is no assurance that we will not be exposed to liability and we may be exposed to significant fines, litigation, indemnification claims, negative publicity, reputational harm, diversion of management attention, interruptions in our operations, financial loss and other similar harms by continuing to provide services to the Chinese application.</w:t>
      </w:r>
    </w:p>
    <w:p>
      <w:pPr>
        <w:spacing w:after="0" w:line="207" w:lineRule="exact"/>
        <w:rPr>
          <w:sz w:val="20"/>
          <w:szCs w:val="20"/>
          <w:color w:val="auto"/>
        </w:rPr>
      </w:pPr>
    </w:p>
    <w:p>
      <w:pPr>
        <w:ind w:right="260" w:firstLine="636"/>
        <w:spacing w:after="0" w:line="252" w:lineRule="auto"/>
        <w:rPr>
          <w:sz w:val="20"/>
          <w:szCs w:val="20"/>
          <w:color w:val="auto"/>
        </w:rPr>
      </w:pPr>
      <w:r>
        <w:rPr>
          <w:rFonts w:ascii="Times New Roman" w:cs="Times New Roman" w:eastAsia="Times New Roman" w:hAnsi="Times New Roman"/>
          <w:sz w:val="18"/>
          <w:szCs w:val="18"/>
          <w:color w:val="auto"/>
        </w:rPr>
        <w:t>In addition, enactment and expansion of laws related to the use of artificial intelligence and machine learning in our operations and increased regulation of cloud service providers also could increase the costs of doing business, subject us to potential liability or regulatory risk and introduce other disadvantages to our business, including brand or reputational harm. Interpretations of laws or regulations that would subject us to regulatory enforcement actions, supervision or, in the alternative, require us to exit a line of business or a country, could lead to the loss of significant revenues and have a negative impact on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quality of our solutions. Engineering efforts to build new capabilities to facilitate compliance with law enforcement access requirements, content access restrictions or other regulations could require us to take on substantial expenses and divert engineering resources from other projects. These circumstances could harm our profitability.</w:t>
      </w:r>
    </w:p>
    <w:p>
      <w:pPr>
        <w:spacing w:after="0" w:line="20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against patent or copyright infringement claims, which would cause us to incur substantial costs or limit our ability to use certain technologies in the future.</w:t>
      </w:r>
    </w:p>
    <w:p>
      <w:pPr>
        <w:spacing w:after="0" w:line="187"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As we expand our business and develop new technologies, products and services, we have become increasingly subject to intellectual property infringement and other claims and related litigation. We have also agreed to indemnify our customers and channel and strategic partners if our solutions infringe or misappropriate specified intellectual property rights. As a result, we have been and could again become involved in litigation or claims brought against customers or channel or strategic partners if our solutions or technology are the subject of such allegations. Any litigation or claims, whether or not valid, brought against us or pursuant to which we indemnify our customers or partners could result in substantial costs and diversion of resources and require us to do one or more of the following: cease selling, incorporating or using features, functionalities, products or services that incorporate the challenged intellectual property; pay substantial damages and incur significant litigation expenses; obtain a license from the holder of the infringed intellectual property right, which license may not be available on reasonable terms or at all; or redesign products or services. If we are forced to take any of these actions, our business may be seriously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will be adversely affected if we are unable to protect our intellectual property rights from unauthorized use or infringement by third parties.</w:t>
      </w:r>
    </w:p>
    <w:p>
      <w:pPr>
        <w:spacing w:after="0" w:line="259"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contractual restrictions on disclosure to protect our intellectual property rights. These legal protections afford only limited protection, particularly in some regions outside the U.S. We have previously brought lawsuits against entities that we believed were infringing our intellectual property rights but have not always prevailed. Such lawsuits can be expensive and require a significant amount of attention from our management and technical personnel, and the outcomes are unpredictable. Monitoring unauthorized use of our solutions is difficult, and we cannot be certain that the steps we have taken or will take will prevent unauthorized use of our technology. Furthermore, we cannot be certain that any pending or future patent applications will be granted, that any future patent will not be challenged, invalidated or circumvented, or that rights granted under any patent that may be issued will provide competitive advantages to us. If we are unable to protect our proprietary rights from unauthorized use, the value of our intellectual property assets may be reduced. Although we have licensed from other parties proprietary technology covered by patents, we cannot be certain that any such patents will not be challenged, invalidated or circumvented. Such licenses may also be non-exclusive, meaning our competition may also be able to access such technology.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impact our business.</w:t>
      </w:r>
    </w:p>
    <w:p>
      <w:pPr>
        <w:spacing w:after="0" w:line="24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From time to time, we are or may become involved in various legal proceedings relating to matters incidental to the ordinary course of our business, including patent, commercial, product liability, breach of contract, employment, class action, whistleblower, other litigation, claims and governmental and other regulatory investigations and proceedings. In addition, under our charter, we could be required to indemnify and advance expenses to our directors and officers in connection with their involvement in certain actions, suits, investigations and other proceedings. Such matters can be time-consuming, divert management’s attention and resources and cause us to incur significant expenses. Furthermore, because litigation is inherently unpredictable and may not be covered by insurance, there can be no assurance that the results of any litigation matters will not have an adverse impact on our business, results of operations, financial condition or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climate change, other disruptions and related natural resource conservation regulations could adversely impact our business.</w:t>
      </w:r>
    </w:p>
    <w:p>
      <w:pPr>
        <w:spacing w:after="0" w:line="248" w:lineRule="exact"/>
        <w:rPr>
          <w:sz w:val="20"/>
          <w:szCs w:val="20"/>
          <w:color w:val="auto"/>
        </w:rPr>
      </w:pPr>
    </w:p>
    <w:p>
      <w:pPr>
        <w:ind w:right="160" w:firstLine="318"/>
        <w:spacing w:after="0" w:line="265" w:lineRule="auto"/>
        <w:rPr>
          <w:sz w:val="20"/>
          <w:szCs w:val="20"/>
          <w:color w:val="auto"/>
        </w:rPr>
      </w:pPr>
      <w:r>
        <w:rPr>
          <w:rFonts w:ascii="Times New Roman" w:cs="Times New Roman" w:eastAsia="Times New Roman" w:hAnsi="Times New Roman"/>
          <w:sz w:val="17"/>
          <w:szCs w:val="17"/>
          <w:color w:val="auto"/>
        </w:rPr>
        <w:t>The long-term effects of climate change on the global economy and our industry in particular remain unknown. For example, changes in weather where we operate may increase the costs of powering and cooling computer hardware we use to develop software and provide cloud services. In addition, catastrophic natural disasters, such as an earthquake, fire, flood or other act of God and any similar disruption, as well as any derivative disruption, such as those to services provided through localized physical infrastructure, including utility or telecommunication outages, or any to the continuity of our, our partners’, suppliers’ and our customers’ workforce, could have a material adverse impact on our business and operating results. In addition, pandemics or other public health crises, as well as any derivative disruptions such as those experienced during the COVID-19 pandemic, in places where we operate may adversely affect our results of operations. Our global operations are dependent on our network infrastructure, technology systems and website, including the supply of servers from our third-party partners, as well as our intellectual property and personnel and any disruption to these dependencies may negatively impact our ability to respond to customers, provide services and maintain local and global business continuity. Furthermore, some of our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products and business functions are hosted or carried out by third parties that may be vulnerable to these same types of disruptions, the response to or resolution of which may be beyond our control. Any disruption to our business could cause us to incur significant costs to repair damages to our facilities, equipment, infrastructure and business relationships.</w:t>
      </w:r>
    </w:p>
    <w:p>
      <w:pPr>
        <w:spacing w:after="0" w:line="204"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 addition, in response to concerns about global climate change, governments may adopt new regulations affecting the use of fossil fuels or requiring the use of alternative fuel sources which could adversely impact our business. Our deployed network of servers consumes significant energy resources, including those generated by the burning of fossil fuels. While we have invested in projects to support renewable energy development, our customers, investors and other stakeholders may require us to take more steps to demonstrate that we are taking ecologically responsible measures in operating our business. The costs and any expenses we may incur to make our network more energy-efficient and comply with any new regulations could make us less profitable in future periods. Failure to comply with applicable laws and regulations or other requirements imposed on us could lead to fines, lost revenue and damage to our reputation.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Investment-Related Risks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your investment could lose value.</w:t>
      </w:r>
    </w:p>
    <w:p>
      <w:pPr>
        <w:spacing w:after="0" w:line="24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market price of our common stock has historically been volatile. Trading prices for our common stock may continue to fluctuate in response to a number of events and factors, including the following: quarterly variations in operating results; changes in guidance or failure to meet guidance; announcements by our customers related to their businesses that could be viewed as impacting their usage of our solutions; market speculation about whether we are a takeover target or considering a strategic transaction; announcements by us regarding acquisitions; announcements by competitors; activism by any single large stockholder or combination of stockholders or rumors about such activity; changes in financial estimates and recommendations by securities analysts; failure to meet the expectations of securities analysts; purchases or sales of our stock by our officers and directors; general economic conditions and other macroeconomic factors, such as inflationary pressures, foreign currency exchange rate fluctuations, energy prices, reduced consumer spending, elevated interest rates, imposition of tariffs, recessionary economic cycles, protracted economic slowdowns and overall market volatility; repurchases of shares of our common stock; the issuance of additional shares or securities convertible into, or exchangeable or exercisable for, shares of our common stock, including under our equity compensation plans; entry into, or termination of, relationships with material customers and partners; and performance by other companies in our industry.</w:t>
      </w:r>
    </w:p>
    <w:p>
      <w:pPr>
        <w:spacing w:after="0" w:line="21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Furthermore, our revenue, particularly that portion attributable to usage of our solutions beyond customer commitments, can be difficult to forecast, and, as a result, our quarterly operating results can fluctuate substantially. This concern is particularly acute with respect to our media and commerce customers. In the future, our customer contracting models may change to move away from a committed revenue structure to a “pay-as-you-go” approach, which could make it easier for customers to reduce the amount of business they do with us or leave altogether. Changes in billing models and committed revenue requirements could, therefore, create challenges with our forecasting processes. Because a significant portion of our cost structure is largely fixed in the short-term, revenue shortfalls tend to have a disproportionately negative impact on our profitability. If we announce revenue or profitability results that do not meet or exceed our guidance, issue guidance that does not meet or exceed market expectations, or make changes in our guidance with respect to future operating results, our stock price may decrease significantly as a result.</w:t>
      </w:r>
    </w:p>
    <w:p>
      <w:pPr>
        <w:spacing w:after="0" w:line="21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Any of these events, as well as other circumstances discussed in these Risk Factors, may cause the price of our common stock to fall. In addition, the stock market in general, and the market prices of stock of publicly-traded technology companies in particular, have experienced significant volatility that often has been unrelated to the operating performance of affected companies. These broad stock market fluctuations may adversely affect the market price of our common stock, regardless of our operating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meet our debt obligations or obtain financing would damage our business.</w:t>
      </w:r>
    </w:p>
    <w:p>
      <w:pPr>
        <w:spacing w:after="0" w:line="248"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As of the date of this report, we had total principal amount of $1,150.0 million of convertible senior notes outstanding due in 2025, total principal amount of $1,150.0 million of convertible senior notes outstanding due in 2027 and total principal amount of $1,265.0 million of convertible senior notes outstanding due in 2029. We also entered into a credit facility in November 2022 that provides for an initial $500.0 million revolving credit facility, and under specified circumstances, the credit facility can be increased to up to $1 billion in aggregate principal amount. As of December 31, 2024, there were no outstanding borrowings under the credit facility. Our ability to repay any amounts we borrow under our credit facility, refinance the notes, make cash payments in connection with conversions of the notes or repurchase the notes in the event of a fundamental change (as defined in the applicable indenture governing the notes) will depend on market conditions and our future performance, which is subject to economic, financial, competitive and other factors beyond our control. We also may not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use the cash we have raised through future borrowing under the credit facility or the issuance of the convertible senior notes in an optimally productive and profitable manner. If we are unable to remain profitable or if we use more cash than we generate in the future, our level of indebtedness at such time could adversely affect our operations by increasing our vulnerability to adverse changes in general economic and industry conditions and by limiting or prohibiting our ability to obtain additional financing for additional capital expenditures, acquisitions and general corporate and other purposes. If we do not have sufficient cash upon conversion of the notes or to repurchase the notes following a fundamental change, we would be in default under the terms of the notes, which could seriously harm our business. Although the terms of our credit facility include certain financial ratios that potentially limit our future indebtedness, the terms of the notes do not. If we incur significantly more debt, this could intensify the risks described above. In addition, if we are unable to obtain financing to fund additional capital expenditures, acquisitions and general corporate and other purposes on reasonable terms, or at all, then our business, operations and financial condition may be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currently do not intend to pay dividends, stockholders will benefit from an investment in our common stock only if it appreciates in value.</w:t>
      </w:r>
    </w:p>
    <w:p>
      <w:pPr>
        <w:spacing w:after="0" w:line="24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We currently intend to retain our future earnings, if any, for use in the operation of our business and do not expect to pay any cash dividends in the foreseeable future on our common stock. As a result, the success of an investment in our common stock will depend upon any future appreciation in its value. There is no guarantee that our common stock will appreciate in value or even maintain the price at which stockholders have purchased their shares, and our stock price has been, and may continue to be, volatile, and your investment could lose value. See the risk factor titled “Our stock price has been, and may continue to be, volatile, and your investment could lose value” above.</w:t>
      </w:r>
    </w:p>
    <w:p>
      <w:pPr>
        <w:spacing w:after="0" w:line="208"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by-laws and Delaware law may have anti-takeover effects that could prevent a change in control even if the change in control would be beneficial to our stockholders.</w:t>
      </w:r>
    </w:p>
    <w:p>
      <w:pPr>
        <w:spacing w:after="0" w:line="187"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Provisions of our charter, by-laws and Delaware law could make it more difficult for a third party to control or acquire us, even if doing so would be beneficial to our stockholders. These provisions include: our board of directors having the right to elect directors to fill a vacancy created by the expansion of the board of directors or the resignation, death or removal of a director; stockholders needing to provide advance notice, additional disclosures and representations and warranties to nominate individuals for election to the board of directors or to propose matters that can be acted upon at a stockholders' meeting; and the ability of our board of directors to issue, without stockholder approval, shares of undesignated preferred stock.</w:t>
      </w:r>
    </w:p>
    <w:p>
      <w:pPr>
        <w:spacing w:after="0" w:line="212" w:lineRule="exact"/>
        <w:rPr>
          <w:sz w:val="20"/>
          <w:szCs w:val="20"/>
          <w:color w:val="auto"/>
        </w:rPr>
      </w:pPr>
    </w:p>
    <w:p>
      <w:pPr>
        <w:jc w:val="both"/>
        <w:ind w:right="120" w:firstLine="318"/>
        <w:spacing w:after="0" w:line="259" w:lineRule="auto"/>
        <w:rPr>
          <w:sz w:val="20"/>
          <w:szCs w:val="20"/>
          <w:color w:val="auto"/>
        </w:rPr>
      </w:pPr>
      <w:r>
        <w:rPr>
          <w:rFonts w:ascii="Times New Roman" w:cs="Times New Roman" w:eastAsia="Times New Roman" w:hAnsi="Times New Roman"/>
          <w:sz w:val="18"/>
          <w:szCs w:val="18"/>
          <w:color w:val="auto"/>
        </w:rPr>
        <w:t>Further, as a Delaware corporation, we are also subject to certain Delaware anti-takeover provisions. Under Delaware law, a corporation may not engage in a business combination with any holder of 15% or more of its capital stock unless the holder has held the stock for three years or, among other things, the board of directors has approved the transaction. Our board of directors could rely on Delaware law to prevent or delay an acquisition of us.</w:t>
      </w:r>
    </w:p>
    <w:p>
      <w:pPr>
        <w:spacing w:after="0" w:line="200" w:lineRule="exact"/>
        <w:rPr>
          <w:sz w:val="20"/>
          <w:szCs w:val="20"/>
          <w:color w:val="auto"/>
        </w:rPr>
      </w:pPr>
    </w:p>
    <w:p>
      <w:pPr>
        <w:ind w:right="22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spacing w:after="0" w:line="163" w:lineRule="exact"/>
        <w:rPr>
          <w:sz w:val="20"/>
          <w:szCs w:val="20"/>
          <w:color w:val="auto"/>
        </w:rPr>
      </w:pPr>
    </w:p>
    <w:p>
      <w:pPr>
        <w:ind w:right="220" w:firstLine="318"/>
        <w:spacing w:after="0" w:line="252"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As previously disclosed in our Form 10-K for the year ended December 31, 2022, we identified a material weakness in the Company’s internal control over financial reporting as of December 31, 2022 related to income taxes. Although this material weakness has been remediated, there can be no assurance that we will not identify additional material weaknesses in internal controls in the future or that the measures we may take to remediate any such future control deficiencies will be effective.</w:t>
      </w:r>
    </w:p>
    <w:p>
      <w:pPr>
        <w:spacing w:after="0" w:line="21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need to continue to enhance and maintain our processes and systems and adapt them to changes as our business evolves and we rearrange management responsibilities and reorganize our business. This continuous process of maintaining and adapting our internal controls and complying with Section 404 is expensive and time-consuming and requires significant management attention. Furthermore, as our business changes, including by expanding our operations in different markets, increasing reliance on channel partners and completing acquisitions, our internal controls may become more complex and we may be required to expend significantly more resources to ensure our internal controls remain effective. Failure to implement required new or improved controls, or difficulties encountered in their implementation, could harm our operating results or cause us to fail to meet our reporting obligations. If we or our independent registered public accounting firm identify additional material weaknesses, the disclosure of that fact, even if quickly remediated, could reduce the market's confidence in our financial statements and harm our stock price.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20" w:firstLine="318"/>
        <w:spacing w:after="0" w:line="251" w:lineRule="auto"/>
        <w:rPr>
          <w:sz w:val="20"/>
          <w:szCs w:val="20"/>
          <w:color w:val="auto"/>
        </w:rPr>
      </w:pPr>
      <w:r>
        <w:rPr>
          <w:rFonts w:ascii="Times New Roman" w:cs="Times New Roman" w:eastAsia="Times New Roman" w:hAnsi="Times New Roman"/>
          <w:sz w:val="18"/>
          <w:szCs w:val="18"/>
          <w:color w:val="auto"/>
        </w:rPr>
        <w:t>We cannot be certain that our internal control measures will provide adequate control over our financial processes and reporting and ensure compliance with Section 404.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Securities and Exchange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6" w:lineRule="exact"/>
        <w:rPr>
          <w:sz w:val="20"/>
          <w:szCs w:val="20"/>
          <w:color w:val="auto"/>
        </w:rPr>
      </w:pPr>
    </w:p>
    <w:p>
      <w:pPr>
        <w:ind w:right="360" w:firstLine="318"/>
        <w:spacing w:after="0" w:line="255" w:lineRule="auto"/>
        <w:rPr>
          <w:sz w:val="20"/>
          <w:szCs w:val="20"/>
          <w:color w:val="auto"/>
        </w:rPr>
      </w:pPr>
      <w:r>
        <w:rPr>
          <w:rFonts w:ascii="Times New Roman" w:cs="Times New Roman" w:eastAsia="Times New Roman" w:hAnsi="Times New Roman"/>
          <w:sz w:val="18"/>
          <w:szCs w:val="18"/>
          <w:color w:val="auto"/>
        </w:rPr>
        <w:t>Our customers rely upon Akamai to power and protect the online experiences of their end user customers. We provide security, delivery and compute solutions and services and maintain internal systems and other data associated with running our business. We have implemented cybersecurity risk management programs and procedures designed to identify and address threats to both internal and customer facing data and systems that are subject to ongoing compliance assessments, certifications and testing.</w:t>
      </w:r>
    </w:p>
    <w:p>
      <w:pPr>
        <w:spacing w:after="0" w:line="207"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Under the oversight and direction of the Akamai executive management team and the Audit Committee of Akamai’s board of directors, the Chief Security Officer (the “CSO”) has primary responsibility for overseeing Akamai’s management of cybersecurity risks. Reporting to the Chief Executive Officer through the Company's Executive Vice President and General Manager of the Security Technology Group, the CSO leads Akamai’s Information Security Committee, which works cross-functionally with other Akamai departments, including legal, business, policy and technical functions, as appropriate, to exchange information related to cybersecurity. Our current CSO is an accomplished security professional with over 15 years of experience in building and leading information security teams at both public and private companies. Akamai’s information security team is comprised of senior ranking staff who have experience in a broad range of security domains, including security operations, software security, risk management and auditing.</w:t>
      </w:r>
    </w:p>
    <w:p>
      <w:pPr>
        <w:spacing w:after="0" w:line="21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CSO and Akamai’s information security team regularly communicate the nature and state of security risks to senior business leaders across the organization. In addition, the CSO meets on a regular basis with the Information Security Committee to provide cybersecurity program updates and to discuss potential risks and changes in the cyber threat landscape in which we operate. On a quarterly basis and as needed, the CSO reports to the Audit Committee to provide information on, as applicable and appropriate, cybersecurity risk management programs, risk mitigation, cybersecurity incidents and related disclosure obligations, if any, information on new or changing threats and other cybersecurity matters. The Audit Committee Chair reports to our board at least quarterly on our cybersecurity risk management program, including risk mitigation, cybersecurity incidents and other relevant developments in our cyber threat landscape. In addition to formal reporting, the CSO takes part in informal meetings as needed and requested with Akamai's management, including the Chief Executive Officer and the board of directors.</w:t>
      </w:r>
    </w:p>
    <w:p>
      <w:pPr>
        <w:spacing w:after="0" w:line="217"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The information security team, under the authority of the CSO, has developed a cybersecurity risk management program that addresses four primary operational pillars:</w:t>
      </w:r>
    </w:p>
    <w:p>
      <w:pPr>
        <w:spacing w:after="0" w:line="190" w:lineRule="exact"/>
        <w:rPr>
          <w:sz w:val="20"/>
          <w:szCs w:val="20"/>
          <w:color w:val="auto"/>
        </w:rPr>
      </w:pPr>
    </w:p>
    <w:p>
      <w:pPr>
        <w:ind w:left="640" w:right="560" w:hanging="316"/>
        <w:spacing w:after="0" w:line="25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monitoring and identifying significant cybersecurity threats and risks across Akamai and the larger internet ecosystem taking into account malicious actors, software vulnerabilities and other threat sources;</w:t>
      </w:r>
    </w:p>
    <w:p>
      <w:pPr>
        <w:ind w:left="640" w:right="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designated risks applicable to Akamai’s assets and systems, including those associated with third-party vendors and suppliers, and planning and tracking efforts to address significant risks;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cybersecurity incidents and associated reporting and communications obligations; and</w:t>
      </w:r>
    </w:p>
    <w:p>
      <w:pPr>
        <w:spacing w:after="0" w:line="5" w:lineRule="exact"/>
        <w:rPr>
          <w:rFonts w:ascii="Times New Roman" w:cs="Times New Roman" w:eastAsia="Times New Roman" w:hAnsi="Times New Roman"/>
          <w:sz w:val="18"/>
          <w:szCs w:val="18"/>
          <w:color w:val="auto"/>
        </w:rPr>
      </w:pPr>
    </w:p>
    <w:p>
      <w:pPr>
        <w:ind w:left="640" w:right="160" w:hanging="316"/>
        <w:spacing w:after="0" w:line="25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compliance assessments through internal and external audits and assessments, certifications and the penetration and vulnerability testing of certain systems.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operational pillars and the programs established from them are informed by cybersecurity industry standards.</w:t>
      </w:r>
    </w:p>
    <w:p>
      <w:pPr>
        <w:spacing w:after="0" w:line="24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Our programs are designed to identify and categorize cybersecurity threats and risks through different sources. We conduct assessments of threat models to determine which risks are most likely to impact us. Akamai’s information security team gathers threat and risk data and updates through various sources, such as systems reviews, security research activities, product development processes, diligence efforts in acquisitions and internal and external security scans and alerts, as appropriate. As applicable, in certain circumstances, we also collaborate with industry partners in the security community, our peers and law</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660"/>
        <w:spacing w:after="0" w:line="304" w:lineRule="auto"/>
        <w:rPr>
          <w:sz w:val="20"/>
          <w:szCs w:val="20"/>
          <w:color w:val="auto"/>
        </w:rPr>
      </w:pPr>
      <w:r>
        <w:rPr>
          <w:rFonts w:ascii="Times New Roman" w:cs="Times New Roman" w:eastAsia="Times New Roman" w:hAnsi="Times New Roman"/>
          <w:sz w:val="17"/>
          <w:szCs w:val="17"/>
          <w:color w:val="auto"/>
        </w:rPr>
        <w:t>enforcement agencies, to support our cybersecurity threat intelligence capabilities. This information is collected, categorized and assessed to identify, prioritize and manage significant cybersecurity risks. As a result, our process is continually evaluated and evolves as the threat landscape changes.</w:t>
      </w:r>
    </w:p>
    <w:p>
      <w:pPr>
        <w:spacing w:after="0" w:line="16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ongoing risk management procedures, we have implemented a cybersecurity incident procedure designed to identify and address security incidents through various channels. As part of this process, cybersecurity incidents are evaluated, as appropriate, by a cross-functional team to assess the impact of the incident or threat to Akamai from a financial, reputational and operational perspective, and to determine notification obligations to customers and regulators and disclosure obligations to investors, as applicable. The results of such evaluation are discussed with the board of directors as appropriate. On a regular basis, our cybersecurity professionals conduct internal assessments of this process. Additionally, we have implemented an incident response plan that is reviewed by the Audit Committee and the board of directors from time to time.</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also incorporate security practices into employee training. We have a process for employees to formally acknowledge their review and understanding of security obligations, and the information security and legal teams conduct periodic security and data protection training aimed to emphasize the importance of security and data protection. In addition, we have implemented a review process to assess the security profile and data protection practices of certain third-party service providers that have exposure to Akamai’s systems, including, as appropriate, review of vendor security policies and procedures and contractually required security commitments.</w:t>
      </w:r>
    </w:p>
    <w:p>
      <w:pPr>
        <w:spacing w:after="0" w:line="212" w:lineRule="exact"/>
        <w:rPr>
          <w:sz w:val="20"/>
          <w:szCs w:val="20"/>
          <w:color w:val="auto"/>
        </w:rPr>
      </w:pPr>
    </w:p>
    <w:p>
      <w:pPr>
        <w:jc w:val="both"/>
        <w:ind w:right="200" w:firstLine="318"/>
        <w:spacing w:after="0" w:line="259" w:lineRule="auto"/>
        <w:rPr>
          <w:sz w:val="20"/>
          <w:szCs w:val="20"/>
          <w:color w:val="auto"/>
        </w:rPr>
      </w:pPr>
      <w:r>
        <w:rPr>
          <w:rFonts w:ascii="Times New Roman" w:cs="Times New Roman" w:eastAsia="Times New Roman" w:hAnsi="Times New Roman"/>
          <w:sz w:val="18"/>
          <w:szCs w:val="18"/>
          <w:color w:val="auto"/>
        </w:rPr>
        <w:t>Although risks from cybersecurity threats have to date not materially affected us, our business strategy, results of operations or financial condition, we have, from time to time, experienced threats to and breaches of our and our third-party vendors’ data and systems. For more information, see "Risk Factors" included elsewhere in this annual report on Form 10-K.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6" w:lineRule="exact"/>
        <w:rPr>
          <w:sz w:val="20"/>
          <w:szCs w:val="20"/>
          <w:color w:val="auto"/>
        </w:rPr>
      </w:pPr>
    </w:p>
    <w:p>
      <w:pPr>
        <w:jc w:val="both"/>
        <w:ind w:right="60" w:firstLine="318"/>
        <w:spacing w:after="0" w:line="274" w:lineRule="auto"/>
        <w:rPr>
          <w:sz w:val="20"/>
          <w:szCs w:val="20"/>
          <w:color w:val="auto"/>
        </w:rPr>
      </w:pPr>
      <w:r>
        <w:rPr>
          <w:rFonts w:ascii="Times New Roman" w:cs="Times New Roman" w:eastAsia="Times New Roman" w:hAnsi="Times New Roman"/>
          <w:sz w:val="17"/>
          <w:szCs w:val="17"/>
          <w:color w:val="auto"/>
        </w:rPr>
        <w:t>Since May 2022 we have operated as a flexible workplace, where employees can choose to work from their home office, a Company office, an approved workspace or a combination. However, our headquarters is located in Cambridge, Massachusetts where we lease approximately 659,000 square feet, of which approximately 285,000 square feet is currently subleased to third parties. We also have offices in other locations in the U.S. and other countries, the largest of which are Bangalore, India; Krakow, Poland; and Tel Aviv, Israel. All of our facilities are leased. We believe our facilities are sufficient to meet our needs.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6"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We are party to various litigation matters, governmental proceedings, investigations, claims and disputes that we consider routine and incidental to our business. We do not currently expect the results of any of these matters to have a material effect on our business, results of operations, financial condition or 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par value $0.01 per share, trades under the symbol “AKAM” on the Nasdaq Global Select Market.</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February 20, 2025, there were 173 holders of record of our common stock.</w:t>
      </w:r>
    </w:p>
    <w:p>
      <w:pPr>
        <w:spacing w:after="0" w:line="24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We have never paid or declared any cash dividends on shares of our common stock or other securities and do not anticipate paying or declaring any cash dividends in the foreseeable future. We currently intend to retain all future earnings, if any, for use in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repurchases of our common stock in the fourth quarter of 2024 (in thousands, except share and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Approximate Dollar</w:t>
            </w:r>
          </w:p>
        </w:tc>
        <w:tc>
          <w:tcPr>
            <w:tcW w:w="0" w:type="dxa"/>
            <w:vAlign w:val="bottom"/>
          </w:tcPr>
          <w:p>
            <w:pPr>
              <w:spacing w:after="0"/>
              <w:rPr>
                <w:sz w:val="1"/>
                <w:szCs w:val="1"/>
                <w:color w:val="auto"/>
              </w:rPr>
            </w:pPr>
          </w:p>
        </w:tc>
      </w:tr>
      <w:tr>
        <w:trPr>
          <w:trHeight w:val="172"/>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Shares Purchased 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32"/>
              <w:spacing w:after="0" w:line="172" w:lineRule="exact"/>
              <w:rPr>
                <w:sz w:val="20"/>
                <w:szCs w:val="20"/>
                <w:color w:val="auto"/>
              </w:rPr>
            </w:pPr>
            <w:r>
              <w:rPr>
                <w:rFonts w:ascii="Times New Roman" w:cs="Times New Roman" w:eastAsia="Times New Roman" w:hAnsi="Times New Roman"/>
                <w:sz w:val="18"/>
                <w:szCs w:val="18"/>
                <w:color w:val="auto"/>
                <w:w w:val="96"/>
              </w:rPr>
              <w:t>Value of Shares that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Part of Publicly</w:t>
            </w:r>
          </w:p>
        </w:tc>
        <w:tc>
          <w:tcPr>
            <w:tcW w:w="100" w:type="dxa"/>
            <w:vAlign w:val="bottom"/>
          </w:tcPr>
          <w:p>
            <w:pPr>
              <w:spacing w:after="0"/>
              <w:rPr>
                <w:sz w:val="15"/>
                <w:szCs w:val="15"/>
                <w:color w:val="auto"/>
              </w:rPr>
            </w:pPr>
          </w:p>
        </w:tc>
        <w:tc>
          <w:tcPr>
            <w:tcW w:w="16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May Yet be Purchased</w:t>
            </w:r>
          </w:p>
        </w:tc>
        <w:tc>
          <w:tcPr>
            <w:tcW w:w="0" w:type="dxa"/>
            <w:vAlign w:val="bottom"/>
          </w:tcPr>
          <w:p>
            <w:pPr>
              <w:spacing w:after="0"/>
              <w:rPr>
                <w:sz w:val="1"/>
                <w:szCs w:val="1"/>
                <w:color w:val="auto"/>
              </w:rPr>
            </w:pPr>
          </w:p>
        </w:tc>
      </w:tr>
      <w:tr>
        <w:trPr>
          <w:trHeight w:val="177"/>
        </w:trPr>
        <w:tc>
          <w:tcPr>
            <w:tcW w:w="432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8"/>
                <w:szCs w:val="18"/>
                <w:color w:val="auto"/>
              </w:rPr>
              <w:t>Period</w:t>
            </w:r>
            <w:r>
              <w:rPr>
                <w:rFonts w:ascii="Times New Roman" w:cs="Times New Roman" w:eastAsia="Times New Roman" w:hAnsi="Times New Roman"/>
                <w:sz w:val="22"/>
                <w:szCs w:val="22"/>
                <w:color w:val="auto"/>
                <w:vertAlign w:val="superscript"/>
              </w:rPr>
              <w:t>(1)</w:t>
            </w:r>
          </w:p>
        </w:tc>
        <w:tc>
          <w:tcPr>
            <w:tcW w:w="176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5"/>
                <w:szCs w:val="15"/>
                <w:color w:val="auto"/>
              </w:rPr>
            </w:pPr>
          </w:p>
        </w:tc>
        <w:tc>
          <w:tcPr>
            <w:tcW w:w="162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auto"/>
                <w:w w:val="97"/>
              </w:rPr>
              <w:t>Average Price Paid</w:t>
            </w:r>
          </w:p>
        </w:tc>
        <w:tc>
          <w:tcPr>
            <w:tcW w:w="16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Announced Plans 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32"/>
              <w:spacing w:after="0" w:line="177" w:lineRule="exact"/>
              <w:rPr>
                <w:sz w:val="20"/>
                <w:szCs w:val="20"/>
                <w:color w:val="auto"/>
              </w:rPr>
            </w:pPr>
            <w:r>
              <w:rPr>
                <w:rFonts w:ascii="Times New Roman" w:cs="Times New Roman" w:eastAsia="Times New Roman" w:hAnsi="Times New Roman"/>
                <w:sz w:val="18"/>
                <w:szCs w:val="18"/>
                <w:color w:val="auto"/>
                <w:w w:val="98"/>
              </w:rPr>
              <w:t>Under Plans or</w:t>
            </w:r>
          </w:p>
        </w:tc>
        <w:tc>
          <w:tcPr>
            <w:tcW w:w="0" w:type="dxa"/>
            <w:vAlign w:val="bottom"/>
          </w:tcPr>
          <w:p>
            <w:pPr>
              <w:spacing w:after="0"/>
              <w:rPr>
                <w:sz w:val="1"/>
                <w:szCs w:val="1"/>
                <w:color w:val="auto"/>
              </w:rPr>
            </w:pPr>
          </w:p>
        </w:tc>
      </w:tr>
      <w:tr>
        <w:trPr>
          <w:trHeight w:val="238"/>
        </w:trPr>
        <w:tc>
          <w:tcPr>
            <w:tcW w:w="4320" w:type="dxa"/>
            <w:vAlign w:val="bottom"/>
            <w:gridSpan w:val="2"/>
            <w:vMerge w:val="continue"/>
          </w:tcPr>
          <w:p>
            <w:pPr>
              <w:spacing w:after="0"/>
              <w:rPr>
                <w:sz w:val="20"/>
                <w:szCs w:val="20"/>
                <w:color w:val="auto"/>
              </w:rPr>
            </w:pPr>
          </w:p>
        </w:tc>
        <w:tc>
          <w:tcPr>
            <w:tcW w:w="1760" w:type="dxa"/>
            <w:vAlign w:val="bottom"/>
            <w:gridSpan w:val="2"/>
          </w:tcPr>
          <w:p>
            <w:pPr>
              <w:jc w:val="center"/>
              <w:ind w:right="100"/>
              <w:spacing w:after="0" w:line="239" w:lineRule="exact"/>
              <w:rPr>
                <w:sz w:val="20"/>
                <w:szCs w:val="20"/>
                <w:color w:val="auto"/>
              </w:rPr>
            </w:pPr>
            <w:r>
              <w:rPr>
                <w:rFonts w:ascii="Times New Roman" w:cs="Times New Roman" w:eastAsia="Times New Roman" w:hAnsi="Times New Roman"/>
                <w:sz w:val="18"/>
                <w:szCs w:val="18"/>
                <w:color w:val="auto"/>
                <w:w w:val="96"/>
              </w:rPr>
              <w:t>Shares Purchased</w:t>
            </w:r>
            <w:r>
              <w:rPr>
                <w:rFonts w:ascii="Times New Roman" w:cs="Times New Roman" w:eastAsia="Times New Roman" w:hAnsi="Times New Roman"/>
                <w:sz w:val="22"/>
                <w:szCs w:val="22"/>
                <w:color w:val="auto"/>
                <w:w w:val="96"/>
                <w:vertAlign w:val="superscript"/>
              </w:rPr>
              <w:t>(2)</w:t>
            </w:r>
          </w:p>
        </w:tc>
        <w:tc>
          <w:tcPr>
            <w:tcW w:w="120" w:type="dxa"/>
            <w:vAlign w:val="bottom"/>
          </w:tcPr>
          <w:p>
            <w:pPr>
              <w:spacing w:after="0"/>
              <w:rPr>
                <w:sz w:val="20"/>
                <w:szCs w:val="20"/>
                <w:color w:val="auto"/>
              </w:rPr>
            </w:pPr>
          </w:p>
        </w:tc>
        <w:tc>
          <w:tcPr>
            <w:tcW w:w="1620" w:type="dxa"/>
            <w:vAlign w:val="bottom"/>
            <w:gridSpan w:val="2"/>
          </w:tcPr>
          <w:p>
            <w:pPr>
              <w:jc w:val="center"/>
              <w:ind w:right="220"/>
              <w:spacing w:after="0" w:line="239" w:lineRule="exact"/>
              <w:rPr>
                <w:sz w:val="20"/>
                <w:szCs w:val="20"/>
                <w:color w:val="auto"/>
              </w:rPr>
            </w:pPr>
            <w:r>
              <w:rPr>
                <w:rFonts w:ascii="Times New Roman" w:cs="Times New Roman" w:eastAsia="Times New Roman" w:hAnsi="Times New Roman"/>
                <w:sz w:val="18"/>
                <w:szCs w:val="18"/>
                <w:color w:val="auto"/>
                <w:w w:val="93"/>
              </w:rPr>
              <w:t>per Share</w:t>
            </w:r>
            <w:r>
              <w:rPr>
                <w:rFonts w:ascii="Times New Roman" w:cs="Times New Roman" w:eastAsia="Times New Roman" w:hAnsi="Times New Roman"/>
                <w:sz w:val="22"/>
                <w:szCs w:val="22"/>
                <w:color w:val="auto"/>
                <w:w w:val="93"/>
                <w:vertAlign w:val="superscript"/>
              </w:rPr>
              <w:t>(3)</w:t>
            </w:r>
          </w:p>
        </w:tc>
        <w:tc>
          <w:tcPr>
            <w:tcW w:w="1660" w:type="dxa"/>
            <w:vAlign w:val="bottom"/>
          </w:tcPr>
          <w:p>
            <w:pPr>
              <w:jc w:val="center"/>
              <w:spacing w:after="0" w:line="239"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2"/>
                <w:szCs w:val="22"/>
                <w:color w:val="auto"/>
                <w:w w:val="95"/>
                <w:vertAlign w:val="superscript"/>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ind w:right="32"/>
              <w:spacing w:after="0" w:line="239"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2"/>
                <w:szCs w:val="22"/>
                <w:color w:val="auto"/>
                <w:w w:val="95"/>
                <w:vertAlign w:val="superscript"/>
              </w:rPr>
              <w:t>(4)</w:t>
            </w:r>
          </w:p>
        </w:tc>
        <w:tc>
          <w:tcPr>
            <w:tcW w:w="0" w:type="dxa"/>
            <w:vAlign w:val="bottom"/>
          </w:tcPr>
          <w:p>
            <w:pPr>
              <w:spacing w:after="0"/>
              <w:rPr>
                <w:sz w:val="1"/>
                <w:szCs w:val="1"/>
                <w:color w:val="auto"/>
              </w:rPr>
            </w:pPr>
          </w:p>
        </w:tc>
      </w:tr>
      <w:tr>
        <w:trPr>
          <w:trHeight w:val="218"/>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2,072,316</w:t>
            </w:r>
          </w:p>
        </w:tc>
        <w:tc>
          <w:tcPr>
            <w:tcW w:w="0" w:type="dxa"/>
            <w:vAlign w:val="bottom"/>
          </w:tcPr>
          <w:p>
            <w:pPr>
              <w:spacing w:after="0"/>
              <w:rPr>
                <w:sz w:val="1"/>
                <w:szCs w:val="1"/>
                <w:color w:val="auto"/>
              </w:rPr>
            </w:pPr>
          </w:p>
        </w:tc>
      </w:tr>
      <w:tr>
        <w:trPr>
          <w:trHeight w:val="22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2,025,861</w:t>
            </w:r>
          </w:p>
        </w:tc>
        <w:tc>
          <w:tcPr>
            <w:tcW w:w="0" w:type="dxa"/>
            <w:vAlign w:val="bottom"/>
          </w:tcPr>
          <w:p>
            <w:pPr>
              <w:spacing w:after="0"/>
              <w:rPr>
                <w:sz w:val="1"/>
                <w:szCs w:val="1"/>
                <w:color w:val="auto"/>
              </w:rPr>
            </w:pPr>
          </w:p>
        </w:tc>
      </w:tr>
      <w:tr>
        <w:trPr>
          <w:trHeight w:val="225"/>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467,548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1,980,477</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640" w:hanging="634"/>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based on settlement dates of repurchase transactions.</w:t>
      </w:r>
    </w:p>
    <w:p>
      <w:pPr>
        <w:spacing w:after="0" w:line="22" w:lineRule="exact"/>
        <w:rPr>
          <w:rFonts w:ascii="Times New Roman" w:cs="Times New Roman" w:eastAsia="Times New Roman" w:hAnsi="Times New Roman"/>
          <w:sz w:val="14"/>
          <w:szCs w:val="14"/>
          <w:color w:val="auto"/>
        </w:rPr>
      </w:pPr>
    </w:p>
    <w:p>
      <w:pPr>
        <w:ind w:left="640" w:hanging="634"/>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our common stock, par value $0.01 per share.</w:t>
      </w:r>
    </w:p>
    <w:p>
      <w:pPr>
        <w:spacing w:after="0" w:line="11" w:lineRule="exact"/>
        <w:rPr>
          <w:rFonts w:ascii="Times New Roman" w:cs="Times New Roman" w:eastAsia="Times New Roman" w:hAnsi="Times New Roman"/>
          <w:sz w:val="14"/>
          <w:szCs w:val="14"/>
          <w:color w:val="auto"/>
        </w:rPr>
      </w:pPr>
    </w:p>
    <w:p>
      <w:pPr>
        <w:ind w:left="640" w:hanging="634"/>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paid, but excludes any estimated excise taxes payable on share repurchases.</w:t>
      </w:r>
    </w:p>
    <w:p>
      <w:pPr>
        <w:spacing w:after="0" w:line="11" w:lineRule="exact"/>
        <w:rPr>
          <w:rFonts w:ascii="Times New Roman" w:cs="Times New Roman" w:eastAsia="Times New Roman" w:hAnsi="Times New Roman"/>
          <w:sz w:val="14"/>
          <w:szCs w:val="14"/>
          <w:color w:val="auto"/>
        </w:rPr>
      </w:pPr>
    </w:p>
    <w:p>
      <w:pPr>
        <w:ind w:left="640" w:right="180" w:hanging="634"/>
        <w:spacing w:after="0" w:line="273" w:lineRule="auto"/>
        <w:tabs>
          <w:tab w:leader="none" w:pos="6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2022, our board of directors authorized a $1.8 billion share repurchase program through December 2024. Effective May 2024, our board of directors authorized a new $2.0 billion share repurchase program through June 2027, which was in addition to amounts remaining under the January 2022 program.</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 ended December 31, 2024, we repurchased 5.6 million shares of our common stock for an aggregate purchase price of $557.5 million.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4"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our consolidated financial statements and notes thereto that appear elsewhere in this annual report on Form 10-K. See “Risk Factors” elsewhere in this annual report on Form 10-K for a discussion of certain risks associated with our business. The following discussion contains forward-looking statements. The forward-looking statements do not include the potential impact of any mergers, acquisitions, divestitures or other events that may be announced after the date hereof.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develop and provide solutions for global enterprises to build, secure and accelerate their applications and digital experiences through our massively distributed global network, which underpins our security, delivery and compute solutions, and is central to our financial success. The key factors that influence our financial success are our ability to build on recurring revenue commitments, increase traffic on our network, continue to develop, scale and successfully bring to market our compute platform and compute-to-edge solutions that meet the needs of professional users and enterprises, including with respect to reliability, effectively manage the prices we charge for our solutions, develop new products and appropriately manage our capital spending and other expenses. The purpose of this discussion and analysis section is to provide material information relevant to an assessment of our financial condition and results of operations from management’s perspective, including to describe and explain key trends, events and other factors that impacted our reported results and that are likely to impact our future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6"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7"/>
          <w:szCs w:val="17"/>
          <w:color w:val="auto"/>
        </w:rPr>
        <w:t>We primarily derive revenue from the sale of services to customers pursuant to contracts having terms of one year or longer, which allows us to have a consistent and predictable base level of revenue. Services included in our contracts consist of security solutions, the delivery of content, applications and software over the internet, compute solutions and professional services. In addition to a base level of revenue, we are also dependent on our ability to increase our product offerings and to cross-sell additional services to our new and existing customers, particularly for our security and compute solutions portfolios.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revenue is also impacted by customer renewals and the pricing for such renewals, the rate of adoption and timing of customer offerings, variability of one-time events, usage of compute services and the amount of traffic we serve on our network. Geopolitical, economic and other developments that impact our customers' businesses can also impact our ability to attract new customers or continue to cross-sell additional services to existing customers and traffic levels for customers with variable usage. Over the longer term, our ability to expand our product portfolio and to effectively manage the prices we charge for our solutions are key factors impacting our revenue growth.</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observed the following trends related to our revenue in recent years:</w:t>
      </w:r>
    </w:p>
    <w:p>
      <w:pPr>
        <w:spacing w:after="0" w:line="244" w:lineRule="exact"/>
        <w:rPr>
          <w:sz w:val="20"/>
          <w:szCs w:val="20"/>
          <w:color w:val="auto"/>
        </w:rPr>
      </w:pPr>
    </w:p>
    <w:p>
      <w:pPr>
        <w:ind w:left="640" w:right="60" w:hanging="316"/>
        <w:spacing w:after="0" w:line="25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our security solutions, led by application security solutions and segmentation solutions from our acquisition of Guardicore Ltd., and increased sales of our compute solutions, attributable to our acquisition of Linode Limited Liability Company ("Linode") and enhanced services on our compute platform, have made a significant contribution to revenue growth. Our security and compute solutions represented over two-thirds of our total revenue during 2024. We plan to continue to invest in these areas with a focus on further advancing our product portfolios and sales capabilities.</w:t>
      </w:r>
    </w:p>
    <w:p>
      <w:pPr>
        <w:spacing w:after="0" w:line="211" w:lineRule="exact"/>
        <w:rPr>
          <w:rFonts w:ascii="Times New Roman" w:cs="Times New Roman" w:eastAsia="Times New Roman" w:hAnsi="Times New Roman"/>
          <w:sz w:val="18"/>
          <w:szCs w:val="18"/>
          <w:color w:val="auto"/>
        </w:rPr>
      </w:pPr>
    </w:p>
    <w:p>
      <w:pPr>
        <w:ind w:left="640" w:hanging="316"/>
        <w:spacing w:after="0" w:line="250"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on our network has moderated as compared to prior years. We, and the industry more broadly, are seeing growth at a slower pace than we have experienced in the past. In particular, we are seeing traffic growth slowing in verticals such as media and gaming, as these customers optimize their traffic and manage through underlying business challenges at a time of global economic and geopolitical headwinds. For instance, a large social media customer has taken steps to lower costs and reduce reliance on U.S. providers by optimizing its platform, including using a “do-it-yourself” component, which has reduced traffic on our network and negatively impacted our revenue in 2024. We expect this trend to continue in 2025. If our customers' businesses continue to be impacted by economic and geopolitical headwinds, they may reduce their spending, optimize their traffic or may increase their reliance on “do-it-yourself” solutions, which may negatively impact traffic on our network and revenue.</w:t>
      </w:r>
    </w:p>
    <w:p>
      <w:pPr>
        <w:spacing w:after="0" w:line="213"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paid by some of our delivery and security customers have declined in recent years due to competition and contract renewals, which negatively impacts our revenue growth rates. We have been able to mitigate some of the negative impacts to our revenue growth rates by upselling incremental solutions to our existing customers. We continue to take steps upon contract renewals to sign customers to multi-year contracts and to optimize how we charge certain high-volume traffic customers to maintain alignment between customer traffic volumes and unit pricing.</w:t>
      </w:r>
    </w:p>
    <w:p>
      <w:pPr>
        <w:spacing w:after="0" w:line="193" w:lineRule="exact"/>
        <w:rPr>
          <w:rFonts w:ascii="Times New Roman" w:cs="Times New Roman" w:eastAsia="Times New Roman" w:hAnsi="Times New Roman"/>
          <w:sz w:val="17"/>
          <w:szCs w:val="17"/>
          <w:color w:val="auto"/>
        </w:rPr>
      </w:pPr>
    </w:p>
    <w:p>
      <w:pPr>
        <w:ind w:left="640" w:right="1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international operations continues to grow, particularly from new customer acquisition and cross-selling of incremental solutions. Because we publicly report in U.S. dollars, our reported revenue results are negatively impacted when the dollar strengthens and benefit when the dollar weakens.</w:t>
      </w:r>
    </w:p>
    <w:p>
      <w:pPr>
        <w:spacing w:after="0" w:line="204" w:lineRule="exact"/>
        <w:rPr>
          <w:rFonts w:ascii="Times New Roman" w:cs="Times New Roman" w:eastAsia="Times New Roman" w:hAnsi="Times New Roman"/>
          <w:sz w:val="18"/>
          <w:szCs w:val="18"/>
          <w:color w:val="auto"/>
        </w:rPr>
      </w:pPr>
    </w:p>
    <w:p>
      <w:pPr>
        <w:ind w:left="640" w:right="20" w:hanging="316"/>
        <w:spacing w:after="0" w:line="25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variations in certain types of revenue from quarter-to-quarter. These quarterly variations in revenue are attributable to, among other things, the timing of large customer contract renewals; the frequency and timing of purchases of custom solutions or licensed software; the nature and timing of software and gaming releases by our customers; holiday season activity; and whether there are large live sporting or other events or situations that impact the amount of media traffic on our network.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46" w:lineRule="exact"/>
        <w:rPr>
          <w:sz w:val="20"/>
          <w:szCs w:val="20"/>
          <w:color w:val="auto"/>
        </w:rPr>
      </w:pPr>
    </w:p>
    <w:p>
      <w:pPr>
        <w:ind w:right="500" w:firstLine="318"/>
        <w:spacing w:after="0" w:line="274" w:lineRule="auto"/>
        <w:rPr>
          <w:sz w:val="20"/>
          <w:szCs w:val="20"/>
          <w:color w:val="auto"/>
        </w:rPr>
      </w:pPr>
      <w:r>
        <w:rPr>
          <w:rFonts w:ascii="Times New Roman" w:cs="Times New Roman" w:eastAsia="Times New Roman" w:hAnsi="Times New Roman"/>
          <w:sz w:val="18"/>
          <w:szCs w:val="18"/>
          <w:color w:val="auto"/>
        </w:rPr>
        <w:t>Our level of profitability is impacted by our expenses, including direct costs to support our revenue such as bandwidth and co-location costs, which includes energy to power our network. We have observed the following trends related to our profitability in recent years:</w:t>
      </w:r>
    </w:p>
    <w:p>
      <w:pPr>
        <w:spacing w:after="0" w:line="190" w:lineRule="exact"/>
        <w:rPr>
          <w:sz w:val="20"/>
          <w:szCs w:val="20"/>
          <w:color w:val="auto"/>
        </w:rPr>
      </w:pPr>
    </w:p>
    <w:p>
      <w:pPr>
        <w:ind w:left="640" w:right="60" w:hanging="316"/>
        <w:spacing w:after="0" w:line="25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Co-location costs are a significant portion of our cost of revenue. As we continue to build out our new compute locations to provide us with the ability to scale our platform, we have entered into, and expect to continue to enter into, longer term leases that include certain financial commitments in order to achieve more favorable unit economics. The costs of the financial commitments are expensed ratably over the lease term, and, as a result, in some cases, we are incurring costs in advance of these compute locations being fully utilized. We continue to improve our internal-use software and remain disciplined in managing our hardware deployments, which enables us to use servers more efficiently. We will continue to effectively manage our co-location costs.</w:t>
      </w:r>
    </w:p>
    <w:p>
      <w:pPr>
        <w:spacing w:after="0" w:line="211" w:lineRule="exact"/>
        <w:rPr>
          <w:rFonts w:ascii="Times New Roman" w:cs="Times New Roman" w:eastAsia="Times New Roman" w:hAnsi="Times New Roman"/>
          <w:sz w:val="18"/>
          <w:szCs w:val="18"/>
          <w:color w:val="auto"/>
        </w:rPr>
      </w:pPr>
    </w:p>
    <w:p>
      <w:pPr>
        <w:ind w:left="640" w:right="1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bandwidth costs are also a significant portion of our cost of revenue. Historically, we have been able to mitigate increases in these costs through investment in internal-use software development to improve the performance and efficiency of our network. We will continue to effectively manage our bandwidth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right="20" w:hanging="316"/>
        <w:spacing w:after="0" w:line="269"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build-out and supporting service costs represent another significant portion of our cost of revenue. These costs include maintenance and supporting services incurred as we continue to build out our compute platform and maintain our global network, and costs of third-party cloud providers used for some of our operations. We have seen these costs increase in recent years as a result of our network expansion, and particularly the build out of our compute platform. We previously experienced increased costs from third-party cloud providers, but continue to mitigate those costs by migrating to our own compute solutions and working to optimize third-party cloud spend. We will continue to effectively manage our network build-out and supporting service costs and continue to migrate third-party cloud services to our compute platform in an effort to manage costs.</w:t>
      </w:r>
    </w:p>
    <w:p>
      <w:pPr>
        <w:spacing w:after="0" w:line="195" w:lineRule="exact"/>
        <w:rPr>
          <w:rFonts w:ascii="Times New Roman" w:cs="Times New Roman" w:eastAsia="Times New Roman" w:hAnsi="Times New Roman"/>
          <w:sz w:val="17"/>
          <w:szCs w:val="17"/>
          <w:color w:val="auto"/>
        </w:rPr>
      </w:pPr>
    </w:p>
    <w:p>
      <w:pPr>
        <w:ind w:left="640" w:hanging="316"/>
        <w:spacing w:after="0" w:line="25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are core to the operations of our business, and payroll and related costs, including stock-based compensation, is our largest expense. It is important to the success of operations that we offer competitive compensation packages. However, we are focused on remaining disciplined in allocating our resources to support our faster growing security and compute solutions, including maintaining operational efficiencies to mitigate the rising cost of talent. In 2023 we redesigned one of our non-executive short-term incentive compensation programs by shifting certain employees from a cash-based to stock-based program, and in 2024 we transitioned more employees to this program. During 2023, we also introduced a non-executive incentive program tied to our initiative to migrate certain third-party cloud services onto Akamai's platform. These programs were designed to better align employee incentives with the interests of our stockholders, which increased our stock-based compensation.</w:t>
      </w:r>
    </w:p>
    <w:p>
      <w:pPr>
        <w:spacing w:after="0" w:line="213" w:lineRule="exact"/>
        <w:rPr>
          <w:rFonts w:ascii="Times New Roman" w:cs="Times New Roman" w:eastAsia="Times New Roman" w:hAnsi="Times New Roman"/>
          <w:sz w:val="18"/>
          <w:szCs w:val="18"/>
          <w:color w:val="auto"/>
        </w:rPr>
      </w:pPr>
    </w:p>
    <w:p>
      <w:pPr>
        <w:ind w:left="640" w:right="80" w:hanging="316"/>
        <w:spacing w:after="0" w:line="25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related to our network equipment also contributes to our overall expense levels. In recent years, we have invested in our network, particularly as part of building out our compute infrastructure, which increased our capital expenditures and resulting depreciation expense. We are also experiencing an increase in certain server component costs that support the continued build out of our compute platform. We plan to continue to make investments in capital expenditures, including to support recently acquired contracts, and focus investments on our faster growing compute solutions, including support for a new enterprise compute customer.</w:t>
      </w:r>
    </w:p>
    <w:p>
      <w:pPr>
        <w:spacing w:after="0" w:line="211"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international operations incrementally increases our exposure to foreign currency fluctuations. Because we publicly report in U.S. dollars, our expenses are positively impacted when the dollar strengthens and are negatively impacted when the dollar weakens.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Acquisitions</w:t>
      </w:r>
    </w:p>
    <w:p>
      <w:pPr>
        <w:spacing w:after="0" w:line="24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acquired certain customer contracts from Edgio, Inc. ("Edgio") in December 2024 as part of a bankruptcy process. This acquisition is intended to further strengthen our existing delivery and other businesses as we transition the acquired customers to our platform and offer our portfolio of other services to them. We also acquired Noname Gate Ltd. ("Noname Security") in June 2024. Noname Security is intended to expand our existing API Security offering by providing more flexible deployment options, extensive vendor integrations and enhanced attack analysis. We believe this acquisition will accelerate our ability to meet increasing customer and market demand. As part of the acquisition, we integrated approximately 200 Noname Security employees primarily within sales and marketing and research and development.</w:t>
      </w:r>
    </w:p>
    <w:p>
      <w:pPr>
        <w:spacing w:after="0" w:line="21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acquired certain customer contracts from Lumen Technologies, Inc. ("Lumen") in October 2023 and from StackPath, LLC ("StackPath") in August 2023. These acquisitions are intended to further strengthen our existing delivery and other businesses as we transition the acquired customers to our platform and offer our portfolio of other services to them. We also acquired Neosec, Inc ("Neosec") in May 2023, which is intended to complement our application and API security portfolio by extending its visibility into the rapidly growing API threat landscape, and StorageOS, Inc. ("StorageOS"), also known as Ondat, in March 2023, which is intended to strengthen our compute offerings. Neither Neosec or Ondat included a significant number of employees when we completed the acquisitions.</w:t>
      </w:r>
    </w:p>
    <w:p>
      <w:pPr>
        <w:spacing w:after="0" w:line="212" w:lineRule="exact"/>
        <w:rPr>
          <w:sz w:val="20"/>
          <w:szCs w:val="20"/>
          <w:color w:val="auto"/>
        </w:rPr>
      </w:pPr>
    </w:p>
    <w:p>
      <w:pPr>
        <w:jc w:val="both"/>
        <w:ind w:right="120" w:firstLine="318"/>
        <w:spacing w:after="0" w:line="259" w:lineRule="auto"/>
        <w:rPr>
          <w:sz w:val="20"/>
          <w:szCs w:val="20"/>
          <w:color w:val="auto"/>
        </w:rPr>
      </w:pPr>
      <w:r>
        <w:rPr>
          <w:rFonts w:ascii="Times New Roman" w:cs="Times New Roman" w:eastAsia="Times New Roman" w:hAnsi="Times New Roman"/>
          <w:sz w:val="18"/>
          <w:szCs w:val="18"/>
          <w:color w:val="auto"/>
        </w:rPr>
        <w:t>In March 2022, we acquired Linode, an infrastructure-as-a-service platform provider, which allows for developer-friendly cloud computing capabilities. The acquisition was intended to enhance our compute services by enabling us to create a unique cloud platform to build, run and secure applications from the cloud to the edge. Linode had approximately 250 employees when we completed the acquisition.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Conditions</w:t>
      </w:r>
    </w:p>
    <w:p>
      <w:pPr>
        <w:spacing w:after="0" w:line="246" w:lineRule="exact"/>
        <w:rPr>
          <w:sz w:val="20"/>
          <w:szCs w:val="20"/>
          <w:color w:val="auto"/>
        </w:rPr>
      </w:pPr>
    </w:p>
    <w:p>
      <w:pPr>
        <w:ind w:right="220" w:firstLine="318"/>
        <w:spacing w:after="0" w:line="252" w:lineRule="auto"/>
        <w:rPr>
          <w:sz w:val="20"/>
          <w:szCs w:val="20"/>
          <w:color w:val="auto"/>
        </w:rPr>
      </w:pPr>
      <w:r>
        <w:rPr>
          <w:rFonts w:ascii="Times New Roman" w:cs="Times New Roman" w:eastAsia="Times New Roman" w:hAnsi="Times New Roman"/>
          <w:sz w:val="18"/>
          <w:szCs w:val="18"/>
          <w:color w:val="auto"/>
        </w:rPr>
        <w:t>Global macroeconomic and geopolitical conditions continue to impact our customers, as well as our business and revenue growth rates. We, along with our customers, continue to manage through an uncertain period of fluctuating inflation, regulations that may negatively impact business, economic and political uncertainty, uncertain energy supplies, heightened geopolitical tensions and conflict, potential for supply chain disruptions, changes in U.S. and international tax laws, changes in tariffs, fluctuations in foreign exchange rates and elevated interest rates. To the extent these macroeconomic conditions continue, we expect that it may adversely affect our business, operations and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sets forth, as a percentage of revenue, consolidated statements of income data for the years indicated: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60" w:type="dxa"/>
            <w:vAlign w:val="bottom"/>
            <w:gridSpan w:val="1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Cost of revenue (exclusive of amortization of acquired intangible assets shown below)</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30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30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4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4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Restructuring charge</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40" w:type="dxa"/>
            <w:vAlign w:val="bottom"/>
            <w:gridSpan w:val="7"/>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30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4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marketable securities income, net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3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Other expense, net</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30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4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1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460" w:type="dxa"/>
            <w:vAlign w:val="bottom"/>
            <w:gridSpan w:val="15"/>
          </w:tcPr>
          <w:p>
            <w:pPr>
              <w:ind w:left="320"/>
              <w:spacing w:after="0"/>
              <w:rPr>
                <w:sz w:val="20"/>
                <w:szCs w:val="20"/>
                <w:color w:val="auto"/>
              </w:rPr>
            </w:pPr>
            <w:r>
              <w:rPr>
                <w:rFonts w:ascii="Times New Roman" w:cs="Times New Roman" w:eastAsia="Times New Roman" w:hAnsi="Times New Roman"/>
                <w:sz w:val="18"/>
                <w:szCs w:val="18"/>
                <w:color w:val="auto"/>
              </w:rPr>
              <w:t>Revenue by solution category during the periods presented was as follows (in thousands):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6"/>
              </w:rPr>
              <w:t>For the Years Ended December 31,</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color w:val="auto"/>
                <w:w w:val="97"/>
              </w:rPr>
              <w:t>For the Years Ended December 31,</w:t>
            </w: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 Change at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color w:val="auto"/>
                <w:w w:val="99"/>
              </w:rPr>
              <w:t>% Change at</w:t>
            </w: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color w:val="auto"/>
                <w:w w:val="96"/>
              </w:rPr>
              <w:t>Constant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Constant</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Change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22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Change</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Currency</w:t>
            </w:r>
          </w:p>
        </w:tc>
        <w:tc>
          <w:tcPr>
            <w:tcW w:w="0" w:type="dxa"/>
            <w:vAlign w:val="bottom"/>
          </w:tcPr>
          <w:p>
            <w:pPr>
              <w:spacing w:after="0"/>
              <w:rPr>
                <w:sz w:val="1"/>
                <w:szCs w:val="1"/>
                <w:color w:val="auto"/>
              </w:rPr>
            </w:pPr>
          </w:p>
        </w:tc>
      </w:tr>
      <w:tr>
        <w:trPr>
          <w:trHeight w:val="218"/>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2,042,661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1,765,267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1,765,267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1,541,941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Delivery</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1,318,131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1,542,434</w:t>
            </w:r>
          </w:p>
        </w:tc>
        <w:tc>
          <w:tcPr>
            <w:tcW w:w="10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1,542,434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1,669,257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504,219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405,456</w:t>
            </w:r>
          </w:p>
        </w:tc>
        <w:tc>
          <w:tcPr>
            <w:tcW w:w="130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Total revenue</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3,991,168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3,811,920</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3,811,920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3,616,654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increases in our revenue in 2024 as compared to 2023, and 2023 as compared to 2022, was primarily the result of continued growth in sales of our security and compute solutions and the acquisition of Linode in March 2022 which contributed to the growth in our compute solutions. These increases were partially offset by a decline in revenue from our delivery solutions due to impacts from economic and geopolitical uncertainty our customers are facing which resulted in slower traffic growth rates and the continued downward pricing of renewals.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increase in security solutions revenue for 2024 as compared to 2023, and 2023 as compared to 2022, was due to growth in a number of key products in our security solutions portfolio, including our segmentation and web application solutions, and the growth in certain products that combine elements of our security and delivery offerings to provide robust security solutions.</w:t>
      </w:r>
    </w:p>
    <w:p>
      <w:pPr>
        <w:spacing w:after="0" w:line="204"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decrease in delivery solutions revenue for 2024 as compared to 2023, and 2023 as compared to 2022, was due to our customers' economic and geopolitical headwinds which resulted in slower traffic growth rates and the continued downward pricing of renewals. In 2024, these headwinds caused a large social media customer to increase their focus on cost optimization and "do-it-yourself" solutions, which additionally reduced traffic on our network and had a negative impact on our delivery revenue.</w:t>
      </w:r>
    </w:p>
    <w:p>
      <w:pPr>
        <w:spacing w:after="0" w:line="207"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increase in compute solutions revenue in 2024 as compared to 2023, and 2023 as compared to 2022, was due to growth in sales of compute products, including cloud optimization solutions to new and existing customers and through the acquisition of Linode in the first quarter of 2022. The increase in compute solutions revenue in 2023 as compared to 2022 was also due to a price increase for some of our compute solutions in 2023.</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derived in the U.S. and internationally during the periods presented is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7"/>
          </w:tcPr>
          <w:p>
            <w:pPr>
              <w:ind w:left="98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 Change at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 Change at</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Constant</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Constant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Currency</w:t>
            </w:r>
          </w:p>
        </w:tc>
        <w:tc>
          <w:tcPr>
            <w:tcW w:w="260" w:type="dxa"/>
            <w:vAlign w:val="bottom"/>
          </w:tcPr>
          <w:p>
            <w:pPr>
              <w:spacing w:after="0"/>
              <w:rPr>
                <w:sz w:val="20"/>
                <w:szCs w:val="20"/>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c>
          <w:tcPr>
            <w:tcW w:w="0" w:type="dxa"/>
            <w:vAlign w:val="bottom"/>
          </w:tcPr>
          <w:p>
            <w:pPr>
              <w:spacing w:after="0"/>
              <w:rPr>
                <w:sz w:val="1"/>
                <w:szCs w:val="1"/>
                <w:color w:val="auto"/>
              </w:rPr>
            </w:pPr>
          </w:p>
        </w:tc>
      </w:tr>
      <w:tr>
        <w:trPr>
          <w:trHeight w:val="218"/>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2,075,533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1,968,779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5.4 %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5.4 %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1,968,779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1,902,051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3.5 %</w:t>
            </w:r>
          </w:p>
        </w:tc>
        <w:tc>
          <w:tcPr>
            <w:tcW w:w="0" w:type="dxa"/>
            <w:vAlign w:val="bottom"/>
          </w:tcPr>
          <w:p>
            <w:pPr>
              <w:spacing w:after="0"/>
              <w:rPr>
                <w:sz w:val="1"/>
                <w:szCs w:val="1"/>
                <w:color w:val="auto"/>
              </w:rPr>
            </w:pPr>
          </w:p>
        </w:tc>
      </w:tr>
      <w:tr>
        <w:trPr>
          <w:trHeight w:val="172"/>
        </w:trPr>
        <w:tc>
          <w:tcPr>
            <w:tcW w:w="12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i w:val="1"/>
                <w:iCs w:val="1"/>
                <w:color w:val="auto"/>
              </w:rPr>
              <w:t>As a</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20" w:type="dxa"/>
            <w:vAlign w:val="bottom"/>
          </w:tcPr>
          <w:p>
            <w:pPr>
              <w:ind w:left="240"/>
              <w:spacing w:after="0" w:line="178" w:lineRule="exact"/>
              <w:rPr>
                <w:sz w:val="20"/>
                <w:szCs w:val="20"/>
                <w:color w:val="auto"/>
              </w:rPr>
            </w:pPr>
            <w:r>
              <w:rPr>
                <w:rFonts w:ascii="Times New Roman" w:cs="Times New Roman" w:eastAsia="Times New Roman" w:hAnsi="Times New Roman"/>
                <w:sz w:val="18"/>
                <w:szCs w:val="18"/>
                <w:i w:val="1"/>
                <w:iCs w:val="1"/>
                <w:color w:val="auto"/>
              </w:rPr>
              <w:t>percentage</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52.0 %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51.6 %</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51.6 %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52.6 %</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of revenue</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1,915,635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1,843,141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1,843,141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1,714,603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72"/>
        </w:trPr>
        <w:tc>
          <w:tcPr>
            <w:tcW w:w="12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i w:val="1"/>
                <w:iCs w:val="1"/>
                <w:color w:val="auto"/>
              </w:rPr>
              <w:t>As a</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20" w:type="dxa"/>
            <w:vAlign w:val="bottom"/>
          </w:tcPr>
          <w:p>
            <w:pPr>
              <w:ind w:left="240"/>
              <w:spacing w:after="0" w:line="178" w:lineRule="exact"/>
              <w:rPr>
                <w:sz w:val="20"/>
                <w:szCs w:val="20"/>
                <w:color w:val="auto"/>
              </w:rPr>
            </w:pPr>
            <w:r>
              <w:rPr>
                <w:rFonts w:ascii="Times New Roman" w:cs="Times New Roman" w:eastAsia="Times New Roman" w:hAnsi="Times New Roman"/>
                <w:sz w:val="18"/>
                <w:szCs w:val="18"/>
                <w:i w:val="1"/>
                <w:iCs w:val="1"/>
                <w:color w:val="auto"/>
              </w:rPr>
              <w:t>percentage</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48.0 %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48.4 %</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48.4 %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47.4 %</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of revenue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Total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3,991,168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3,811,920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4.7 %</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5.3 %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3,811,920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3,616,654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5.8 %</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For each of the years ended December 31, 2024, 2023 and 2022, no single country outside of the U.S. accounted for 10% or more of revenue. Changes in foreign currency exchange rates negatively impacted our revenue by $22.5 million in 2024 as compared to 2023, and negatively impacted our revenue by $13.9 million in 2023 as compared to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Cost of revenue consisted of the following for the periods presented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00" w:type="dxa"/>
            <w:vAlign w:val="bottom"/>
            <w:gridSpan w:val="7"/>
          </w:tcPr>
          <w:p>
            <w:pPr>
              <w:ind w:left="6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320" w:type="dxa"/>
            <w:vAlign w:val="bottom"/>
          </w:tcPr>
          <w:p>
            <w:pPr>
              <w:spacing w:after="0"/>
              <w:rPr>
                <w:sz w:val="20"/>
                <w:szCs w:val="20"/>
                <w:color w:val="auto"/>
              </w:rPr>
            </w:pPr>
          </w:p>
        </w:tc>
        <w:tc>
          <w:tcPr>
            <w:tcW w:w="3980" w:type="dxa"/>
            <w:vAlign w:val="bottom"/>
            <w:gridSpan w:val="6"/>
          </w:tcPr>
          <w:p>
            <w:pPr>
              <w:jc w:val="right"/>
              <w:ind w:right="812"/>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0" w:type="dxa"/>
            <w:vAlign w:val="bottom"/>
          </w:tcPr>
          <w:p>
            <w:pPr>
              <w:spacing w:after="0"/>
              <w:rPr>
                <w:sz w:val="1"/>
                <w:szCs w:val="1"/>
                <w:color w:val="auto"/>
              </w:rPr>
            </w:pPr>
          </w:p>
        </w:tc>
      </w:tr>
      <w:tr>
        <w:trPr>
          <w:trHeight w:val="218"/>
        </w:trPr>
        <w:tc>
          <w:tcPr>
            <w:tcW w:w="25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Co-location fees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308,314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256,062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197,375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25"/>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Bandwidth fees</w:t>
            </w:r>
          </w:p>
        </w:tc>
        <w:tc>
          <w:tcPr>
            <w:tcW w:w="3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228,038</w:t>
            </w:r>
          </w:p>
        </w:tc>
        <w:tc>
          <w:tcPr>
            <w:tcW w:w="12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228,038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205,268</w:t>
            </w:r>
          </w:p>
        </w:tc>
        <w:tc>
          <w:tcPr>
            <w:tcW w:w="1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72"/>
        </w:trPr>
        <w:tc>
          <w:tcPr>
            <w:tcW w:w="25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Network build-out and supporting</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193,607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215,557</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215,557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195,669</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5"/>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3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334,215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325,851</w:t>
            </w:r>
          </w:p>
        </w:tc>
        <w:tc>
          <w:tcPr>
            <w:tcW w:w="12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298,269</w:t>
            </w:r>
          </w:p>
        </w:tc>
        <w:tc>
          <w:tcPr>
            <w:tcW w:w="1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172"/>
        </w:trPr>
        <w:tc>
          <w:tcPr>
            <w:tcW w:w="25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including amortization of prior</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amounts</w:t>
            </w:r>
          </w:p>
        </w:tc>
        <w:tc>
          <w:tcPr>
            <w:tcW w:w="3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100,705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73,786</w:t>
            </w:r>
          </w:p>
        </w:tc>
        <w:tc>
          <w:tcPr>
            <w:tcW w:w="12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73,786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57,146</w:t>
            </w:r>
          </w:p>
        </w:tc>
        <w:tc>
          <w:tcPr>
            <w:tcW w:w="10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172"/>
        </w:trPr>
        <w:tc>
          <w:tcPr>
            <w:tcW w:w="25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Depreciation of network</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282,106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231,500</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231,500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259,359</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72"/>
        </w:trPr>
        <w:tc>
          <w:tcPr>
            <w:tcW w:w="25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Amortization of internal-use</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168,746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177,079</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177,079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165,751</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1,620,793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1,511,063</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1,511,063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1,383,819</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40.6 %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39.6 %</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39.6 %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38.3 %</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increase in cost of revenue for 2024 as compared to 2023 was primarily due to:</w:t>
      </w:r>
    </w:p>
    <w:p>
      <w:pPr>
        <w:spacing w:after="0" w:line="244" w:lineRule="exact"/>
        <w:rPr>
          <w:sz w:val="20"/>
          <w:szCs w:val="20"/>
          <w:color w:val="auto"/>
        </w:rPr>
      </w:pPr>
    </w:p>
    <w:p>
      <w:pPr>
        <w:ind w:left="960" w:right="60" w:hanging="318"/>
        <w:spacing w:after="0" w:line="257"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co-location fees and depreciation of network equipment as a result of investment in our network, particularly as we are building out our compute platform to support future growth and scalability; and</w:t>
      </w:r>
    </w:p>
    <w:p>
      <w:pPr>
        <w:ind w:left="960" w:right="40" w:hanging="318"/>
        <w:spacing w:after="0" w:line="248"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costs, including stock-based compensation as a result of headcount growth from our strategic initiatives and annual merit increases. Additionally, the increase in stock-based compensation programs from cash-based to stock-based for certain employees and the timing of our performance-based equity award grants.</w:t>
      </w:r>
    </w:p>
    <w:p>
      <w:pPr>
        <w:spacing w:after="0" w:line="213" w:lineRule="exact"/>
        <w:rPr>
          <w:sz w:val="20"/>
          <w:szCs w:val="20"/>
          <w:color w:val="auto"/>
        </w:rPr>
      </w:pPr>
    </w:p>
    <w:p>
      <w:pPr>
        <w:ind w:left="320" w:right="40"/>
        <w:spacing w:after="0" w:line="259" w:lineRule="auto"/>
        <w:rPr>
          <w:sz w:val="20"/>
          <w:szCs w:val="20"/>
          <w:color w:val="auto"/>
        </w:rPr>
      </w:pPr>
      <w:r>
        <w:rPr>
          <w:rFonts w:ascii="Times New Roman" w:cs="Times New Roman" w:eastAsia="Times New Roman" w:hAnsi="Times New Roman"/>
          <w:sz w:val="18"/>
          <w:szCs w:val="18"/>
          <w:color w:val="auto"/>
        </w:rPr>
        <w:t>The increase in cost of revenue for 2024 as compared to 2023 was partially offset by lower network build-out and supporting services due to a decrease in third-party cloud costs as we have been migrating third-party cloud services onto our own compute platform and working to optimize third-party cloud spending.</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increase in cost of revenue for 2023 as compared to 2022 was primarily due to:</w:t>
      </w:r>
    </w:p>
    <w:p>
      <w:pPr>
        <w:spacing w:after="0" w:line="244" w:lineRule="exact"/>
        <w:rPr>
          <w:sz w:val="20"/>
          <w:szCs w:val="20"/>
          <w:color w:val="auto"/>
        </w:rPr>
      </w:pPr>
    </w:p>
    <w:p>
      <w:pPr>
        <w:ind w:left="960" w:right="160" w:hanging="318"/>
        <w:spacing w:after="0" w:line="257"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co-location fees as a result of investment in our network, particularly as we are building out our compute platform to support future growth and scalability;</w:t>
      </w: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bandwidth fees to support the increase in traffic served on our network and for traffic served from higher cost regions;</w:t>
      </w:r>
    </w:p>
    <w:p>
      <w:pPr>
        <w:spacing w:after="0" w:line="5" w:lineRule="exact"/>
        <w:rPr>
          <w:rFonts w:ascii="Times New Roman" w:cs="Times New Roman" w:eastAsia="Times New Roman" w:hAnsi="Times New Roman"/>
          <w:sz w:val="18"/>
          <w:szCs w:val="18"/>
          <w:color w:val="auto"/>
        </w:rPr>
      </w:pPr>
    </w:p>
    <w:p>
      <w:pPr>
        <w:ind w:left="960" w:right="200" w:hanging="318"/>
        <w:spacing w:after="0" w:line="245"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build-out and supporting services due to our investment in our network and costs associated with the transition services agreements to support the migration of customer contracts acquired from Lumen and StackPath; and</w:t>
      </w:r>
    </w:p>
    <w:p>
      <w:pPr>
        <w:spacing w:after="0" w:line="1" w:lineRule="exact"/>
        <w:rPr>
          <w:rFonts w:ascii="Times New Roman" w:cs="Times New Roman" w:eastAsia="Times New Roman" w:hAnsi="Times New Roman"/>
          <w:sz w:val="18"/>
          <w:szCs w:val="18"/>
          <w:color w:val="auto"/>
        </w:rPr>
      </w:pPr>
    </w:p>
    <w:p>
      <w:pPr>
        <w:ind w:left="960" w:right="260" w:hanging="318"/>
        <w:spacing w:after="0" w:line="270" w:lineRule="auto"/>
        <w:tabs>
          <w:tab w:leader="none" w:pos="9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and related costs, including stock-based compensation, as a result of headcount growth to support our network, the increased expected achievement of our performance-based compensation plans and higher average equity awards to employees driven by the talent market; additionally, stock-based compensation increased due to the shift in one of our compensation programs from cash-based to stock-based.</w:t>
      </w:r>
    </w:p>
    <w:p>
      <w:pPr>
        <w:spacing w:after="0" w:line="195"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increase in cost of revenue for 2023 as compared to 2022 was partially offset by lower depreciation expense of network equipment due to software and hardware initiatives we have implemented to manage our global network more efficiently. As a result, we increased the expected average useful life of our servers from five to six years effective January 1, 2023, which resulted in a reduction to depreciation expense of $62.7 million for the year ended December 31, 2023.</w:t>
      </w:r>
    </w:p>
    <w:p>
      <w:pPr>
        <w:spacing w:after="0" w:line="207" w:lineRule="exact"/>
        <w:rPr>
          <w:sz w:val="20"/>
          <w:szCs w:val="20"/>
          <w:color w:val="auto"/>
        </w:rPr>
      </w:pPr>
    </w:p>
    <w:p>
      <w:pPr>
        <w:jc w:val="both"/>
        <w:ind w:right="380" w:firstLine="318"/>
        <w:spacing w:after="0" w:line="259" w:lineRule="auto"/>
        <w:rPr>
          <w:sz w:val="20"/>
          <w:szCs w:val="20"/>
          <w:color w:val="auto"/>
        </w:rPr>
      </w:pPr>
      <w:r>
        <w:rPr>
          <w:rFonts w:ascii="Times New Roman" w:cs="Times New Roman" w:eastAsia="Times New Roman" w:hAnsi="Times New Roman"/>
          <w:sz w:val="18"/>
          <w:szCs w:val="18"/>
          <w:color w:val="auto"/>
        </w:rPr>
        <w:t>Additionally, due to our focus on third-party cloud application costs, including migrating third-party cloud services to our own compute platform and optimizing third-party cloud spending which are included in network build-out and supporting services, our third-party cloud costs decreased for 2023 as compared to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During 2025, we expect our cost of revenue to increase as compared to 2024, in particular our co-location costs and depreciation of network equipment, due to investments in our network to support the continued growth of our compute solutions.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 for the periods presented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60" w:type="dxa"/>
            <w:vAlign w:val="bottom"/>
            <w:gridSpan w:val="7"/>
          </w:tcPr>
          <w:p>
            <w:pPr>
              <w:ind w:left="60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320" w:type="dxa"/>
            <w:vAlign w:val="bottom"/>
          </w:tcPr>
          <w:p>
            <w:pPr>
              <w:spacing w:after="0"/>
              <w:rPr>
                <w:sz w:val="20"/>
                <w:szCs w:val="20"/>
                <w:color w:val="auto"/>
              </w:rPr>
            </w:pPr>
          </w:p>
        </w:tc>
        <w:tc>
          <w:tcPr>
            <w:tcW w:w="3940" w:type="dxa"/>
            <w:vAlign w:val="bottom"/>
            <w:gridSpan w:val="6"/>
          </w:tcPr>
          <w:p>
            <w:pPr>
              <w:jc w:val="right"/>
              <w:ind w:right="792"/>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9"/>
        </w:trPr>
        <w:tc>
          <w:tcPr>
            <w:tcW w:w="26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 Change</w:t>
            </w:r>
          </w:p>
        </w:tc>
      </w:tr>
      <w:tr>
        <w:trPr>
          <w:trHeight w:val="21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562,286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494,803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494,803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468,928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152,114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123,896</w:t>
            </w:r>
          </w:p>
        </w:tc>
        <w:tc>
          <w:tcPr>
            <w:tcW w:w="1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78,116</w:t>
            </w:r>
          </w:p>
        </w:tc>
        <w:tc>
          <w:tcPr>
            <w:tcW w:w="12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58.6</w:t>
            </w:r>
          </w:p>
        </w:tc>
      </w:tr>
      <w:tr>
        <w:trPr>
          <w:trHeight w:val="172"/>
        </w:trPr>
        <w:tc>
          <w:tcPr>
            <w:tcW w:w="2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Capitalized salaries and related</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(272,320)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(239,928)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(239,928)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(183,540)</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30.7</w:t>
            </w: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(74.5)</w:t>
            </w: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28,796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26,556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26,556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25,098</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r>
      <w:tr>
        <w:trPr>
          <w:trHeight w:val="219"/>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Total research and development</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470,876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406,048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406,048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391,434</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bl>
    <w:p>
      <w:pPr>
        <w:spacing w:after="0" w:line="313"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The increase in research and development expenses for 2024 as compared to 2023 was primarily due to higher payroll and related costs, including stock-based compensation, as a result of headcount growth from our strategic initiatives and annual merit increases. Additionally, the increase in stock-based compensation was a result of the timing of our performance-based equity award grants. These increases were partially offset by increases in capitalized salaries and related costs as we had additional resources focused on development activities related to our platform and solutions.</w:t>
      </w:r>
    </w:p>
    <w:p>
      <w:pPr>
        <w:spacing w:after="0" w:line="207"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increase in research and development expenses for 2023 as compared to 2022 was due to higher payroll and related costs, including stock-based compensation, as a result of headcount growth from our strategic initiatives, annual merit increases, the increased expected achievement of our performance-based compensation plans, a new compensation program tied to our initiative to migrate third-party cloud services onto our compute platform and higher average equity awards to employees driven by the talent market. Additionally, stock-based compensation increased due to the shift in one of our compensation programs from cash-based to stock-based. These increases were partially offset by an increase in capitalized salaries and related costs as we focused resources to work on development activities related to our platform.</w:t>
      </w:r>
    </w:p>
    <w:p>
      <w:pPr>
        <w:spacing w:after="0" w:line="212"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Research and development costs are expensed as incurred, other than certain internal-use software development costs eligible for capitalization. Capitalized development costs consist of payroll and related costs for personnel and external consulting expenses involved in the development of internal-use software used to deliver our services and operate our network. For the years ended December 31, 2024, 2023 and 2022, we capitalized $99.6 million, $77.0 million and $30.0 million, respectively, of stock-based compensation. These capitalized internal-use software development costs are amortized to cost of revenue over their estimated useful lives, ranging from two to ten years based on the software developed and its expected useful life.</w:t>
      </w:r>
    </w:p>
    <w:p>
      <w:pPr>
        <w:spacing w:after="0" w:line="212"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We expect our research and development costs to increase in 2025, in particular payroll and related costs, in support of our faster growing security and compute solutions.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Sales and marketing expenses consisted of the following for the periods presented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80" w:type="dxa"/>
            <w:vAlign w:val="bottom"/>
            <w:gridSpan w:val="7"/>
          </w:tcPr>
          <w:p>
            <w:pPr>
              <w:ind w:left="60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300" w:type="dxa"/>
            <w:vAlign w:val="bottom"/>
          </w:tcPr>
          <w:p>
            <w:pPr>
              <w:spacing w:after="0"/>
              <w:rPr>
                <w:sz w:val="20"/>
                <w:szCs w:val="20"/>
                <w:color w:val="auto"/>
              </w:rPr>
            </w:pPr>
          </w:p>
        </w:tc>
        <w:tc>
          <w:tcPr>
            <w:tcW w:w="3960" w:type="dxa"/>
            <w:vAlign w:val="bottom"/>
            <w:gridSpan w:val="6"/>
          </w:tcPr>
          <w:p>
            <w:pPr>
              <w:jc w:val="right"/>
              <w:ind w:right="812"/>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9"/>
        </w:trPr>
        <w:tc>
          <w:tcPr>
            <w:tcW w:w="25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393,584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376,305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376,305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374,110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77,593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66,453</w:t>
            </w:r>
          </w:p>
        </w:tc>
        <w:tc>
          <w:tcPr>
            <w:tcW w:w="120" w:type="dxa"/>
            <w:vAlign w:val="bottom"/>
          </w:tcPr>
          <w:p>
            <w:pPr>
              <w:spacing w:after="0"/>
              <w:rPr>
                <w:sz w:val="19"/>
                <w:szCs w:val="19"/>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66,453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47,789</w:t>
            </w:r>
          </w:p>
        </w:tc>
        <w:tc>
          <w:tcPr>
            <w:tcW w:w="10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39.1</w:t>
            </w:r>
          </w:p>
        </w:tc>
      </w:tr>
      <w:tr>
        <w:trPr>
          <w:trHeight w:val="172"/>
        </w:trPr>
        <w:tc>
          <w:tcPr>
            <w:tcW w:w="25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Marketing programs and related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53,893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59,151</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59,151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55,033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(36.0)</w:t>
            </w: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31,711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29,930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29,930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23,311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28.4</w:t>
            </w:r>
          </w:p>
        </w:tc>
      </w:tr>
      <w:tr>
        <w:trPr>
          <w:trHeight w:val="219"/>
        </w:trPr>
        <w:tc>
          <w:tcPr>
            <w:tcW w:w="2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556,781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533,226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533,226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502,409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13.9 %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bl>
    <w:p>
      <w:pPr>
        <w:spacing w:after="0" w:line="313"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increase in sales and marketing expenses for 2024 as compared to 2023 was due to higher payroll and related costs, including stock-based compensation as a result of annual merit increases and employees acquired through the Noname Security acquisition. Additionally, the increase in stock-based compensation was a result of the timing of our performance-based equity award grants These increases were partially offset by a reduction in marketing programs and related costs as a result of the timing of events and advertising campaigns.</w:t>
      </w:r>
    </w:p>
    <w:p>
      <w:pPr>
        <w:spacing w:after="0" w:line="207"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increase in sales and marketing expenses for 2023 as compared to 2022 was due to higher payroll and related costs, including stock-based compensation, as a result of annual merit increases, headcount growth and the increased expected achievement of our performance-based compensation plans and other expenses due to increased travel expenses associated with customer meetings and sales events. Additionally, stock-based compensation increased due to the shift in one of our compensation programs from cash-based to stock-based.</w:t>
      </w:r>
    </w:p>
    <w:p>
      <w:pPr>
        <w:spacing w:after="0" w:line="207"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During 2025 we do not expect significant increases in sales and marketing expenses as we plan to continue to carefully manage costs related to our go-to-market efforts to align resources with higher growth areas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General and administrative expenses consisted of the following for the periods presented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4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320" w:type="dxa"/>
            <w:vAlign w:val="bottom"/>
          </w:tcPr>
          <w:p>
            <w:pPr>
              <w:spacing w:after="0"/>
              <w:rPr>
                <w:sz w:val="20"/>
                <w:szCs w:val="20"/>
                <w:color w:val="auto"/>
              </w:rPr>
            </w:pPr>
          </w:p>
        </w:tc>
        <w:tc>
          <w:tcPr>
            <w:tcW w:w="3940" w:type="dxa"/>
            <w:vAlign w:val="bottom"/>
            <w:gridSpan w:val="6"/>
          </w:tcPr>
          <w:p>
            <w:pPr>
              <w:jc w:val="right"/>
              <w:ind w:right="792"/>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0" w:type="dxa"/>
            <w:vAlign w:val="bottom"/>
          </w:tcPr>
          <w:p>
            <w:pPr>
              <w:spacing w:after="0"/>
              <w:rPr>
                <w:sz w:val="1"/>
                <w:szCs w:val="1"/>
                <w:color w:val="auto"/>
              </w:rPr>
            </w:pPr>
          </w:p>
        </w:tc>
      </w:tr>
      <w:tr>
        <w:trPr>
          <w:trHeight w:val="218"/>
        </w:trPr>
        <w:tc>
          <w:tcPr>
            <w:tcW w:w="26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218,272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218,272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213,772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94,316</w:t>
            </w:r>
          </w:p>
        </w:tc>
        <w:tc>
          <w:tcPr>
            <w:tcW w:w="10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94,316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62,926</w:t>
            </w:r>
          </w:p>
        </w:tc>
        <w:tc>
          <w:tcPr>
            <w:tcW w:w="12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65,817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74,225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Facilities-related costs</w:t>
            </w: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90,061</w:t>
            </w:r>
          </w:p>
        </w:tc>
        <w:tc>
          <w:tcPr>
            <w:tcW w:w="10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90,061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103,473</w:t>
            </w:r>
          </w:p>
        </w:tc>
        <w:tc>
          <w:tcPr>
            <w:tcW w:w="12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19,071</w:t>
            </w:r>
          </w:p>
        </w:tc>
        <w:tc>
          <w:tcPr>
            <w:tcW w:w="12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related service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56,557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55,714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50,320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72,771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66,972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66,972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53,377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52"/>
        </w:trPr>
        <w:tc>
          <w:tcPr>
            <w:tcW w:w="262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7"/>
                <w:szCs w:val="17"/>
                <w:color w:val="auto"/>
              </w:rPr>
              <w:t>Total general and</w:t>
            </w: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621,785</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600,851</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600,851</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584,206</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2"/>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360" w:firstLine="318"/>
        <w:spacing w:after="0" w:line="255" w:lineRule="auto"/>
        <w:rPr>
          <w:sz w:val="20"/>
          <w:szCs w:val="20"/>
          <w:color w:val="auto"/>
        </w:rPr>
      </w:pPr>
      <w:r>
        <w:rPr>
          <w:rFonts w:ascii="Times New Roman" w:cs="Times New Roman" w:eastAsia="Times New Roman" w:hAnsi="Times New Roman"/>
          <w:sz w:val="18"/>
          <w:szCs w:val="18"/>
          <w:color w:val="auto"/>
        </w:rPr>
        <w:t>The increase in general and administrative expenses for 2024 as compared to 2023 was primarily due to higher payroll and related costs as a result of annual merit increases, an increase in stock-based compensation as a result of the timing of our performance-based equity award grants and an increase in other expenses related to professional service fees to support our business. These increases were partially offset by decreased facilities-related costs as we exited certain facilities in connection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our FlexBase program.</w:t>
      </w:r>
    </w:p>
    <w:p>
      <w:pPr>
        <w:spacing w:after="0" w:line="244"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increase in general and administrative expenses for 2023 as compared to 2022 was due to higher payroll and related costs, including stock-based compensation, as a result of annual merit increases, headcount growth, the increased expected achievement of our performance-based compensation plans and higher average equity awards to employees driven by the talent market and other expenses due to increased professional service fees to support our business. Additionally, stock-based compensation increased due to the shift in one of our compensation programs from cash-based to stock-based. These increases were partially offset by decreases in facilities-related costs as a result of growth in sublease income from the execution of our FlexBase program and acquisition-related costs in connection with our acquisition of Linode in the first quarter of 2022.</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2025, we expect our general and administrative expenses to increase as compared to 2024, to support the operations of the business.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7"/>
              </w:rPr>
              <w:t>Amortization of Acquired Intangible Assets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9"/>
        </w:trPr>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0" w:type="dxa"/>
            <w:vAlign w:val="bottom"/>
            <w:gridSpan w:val="8"/>
          </w:tcPr>
          <w:p>
            <w:pPr>
              <w:jc w:val="right"/>
              <w:ind w:right="130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3980" w:type="dxa"/>
            <w:vAlign w:val="bottom"/>
            <w:gridSpan w:val="6"/>
          </w:tcPr>
          <w:p>
            <w:pPr>
              <w:jc w:val="right"/>
              <w:ind w:right="812"/>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8"/>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 Change</w:t>
            </w:r>
          </w:p>
        </w:tc>
      </w:tr>
      <w:tr>
        <w:trPr>
          <w:trHeight w:val="152"/>
        </w:trPr>
        <w:tc>
          <w:tcPr>
            <w:tcW w:w="258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Amortization of acquired intangible</w:t>
            </w: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3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92,081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66,751</w:t>
            </w:r>
          </w:p>
        </w:tc>
        <w:tc>
          <w:tcPr>
            <w:tcW w:w="10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37.9 %  $</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66,751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64,983</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05"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increase in amortization of acquired intangible assets for 2024 as compared to 2023, and 2023 as compared to 2022, was the result of amortization of acquired intangible assets related to our recent acquisitions. Based on acquired intangible assets as of December 31, 2024, future amortization is expected to be $111.5 million, $104.1 million, $89.2 million, $81.9 million and $76.0 million for the years ending December 31, 2025, 2026, 2027, 2028 and 2029,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Charge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9"/>
        </w:trPr>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80" w:type="dxa"/>
            <w:vAlign w:val="bottom"/>
            <w:gridSpan w:val="8"/>
          </w:tcPr>
          <w:p>
            <w:pPr>
              <w:jc w:val="right"/>
              <w:ind w:right="1212"/>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3960" w:type="dxa"/>
            <w:vAlign w:val="bottom"/>
            <w:gridSpan w:val="6"/>
          </w:tcPr>
          <w:p>
            <w:pPr>
              <w:jc w:val="right"/>
              <w:ind w:right="812"/>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r>
      <w:tr>
        <w:trPr>
          <w:trHeight w:val="21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56,643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56,643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318.7 %</w:t>
            </w:r>
          </w:p>
        </w:tc>
      </w:tr>
      <w:tr>
        <w:trPr>
          <w:trHeight w:val="23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92"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The restructuring charge in 2024 was driven by management's commitment to an action with the primary intent to redeploy resources to support our strategic investments and as a result of our completed acquisitions. The restructuring charge included severance and related expenses for certain headcount reductions, as well as impairments of acquired intangible assets and capitalized internal-use software. We do not expect to incur material additional charges related to these actions.</w:t>
      </w:r>
    </w:p>
    <w:p>
      <w:pPr>
        <w:spacing w:after="0" w:line="207"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The restructuring charge in 2023 was primarily driven by our FlexBase program as we exited certain facilities that were no longer needed, resulting in impairments of right-of-use-assets and leasehold improvements. We do not expect to incur material additional charges related to the FlexBase program. Additionally, the restructuring charge in 2023 included the result of certain actions initiated in the first quarter of 2023. Management's commitment to an action to restructure certain parts of the company was to enable the prioritization of investments in the fastest growing areas of the business. The restructuring charge for this action includes severance and related expenses for certain headcount reductions. We do not expect to incur material additional charges related to this action.</w:t>
      </w:r>
    </w:p>
    <w:p>
      <w:pPr>
        <w:spacing w:after="0" w:line="212"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restructuring charge in 2022 was primarily related to capitalized internal-use software impairment charges related to our investment with Mitsubishi UFJ Financial Group ("MUFG") in the joint venture Global Open Network, Inc. ("GO-NET"), and MUFG's decision to suspend GO-NET's operations, and impairments of right-of-use-assets for facilities that are no longer needed as a result of our FlexBase program.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7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Non-Operating Income (Expense)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9"/>
        </w:trPr>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gridSpan w:val="7"/>
          </w:tcPr>
          <w:p>
            <w:pPr>
              <w:ind w:left="60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300" w:type="dxa"/>
            <w:vAlign w:val="bottom"/>
          </w:tcPr>
          <w:p>
            <w:pPr>
              <w:spacing w:after="0"/>
              <w:rPr>
                <w:sz w:val="24"/>
                <w:szCs w:val="24"/>
                <w:color w:val="auto"/>
              </w:rPr>
            </w:pPr>
          </w:p>
        </w:tc>
        <w:tc>
          <w:tcPr>
            <w:tcW w:w="4000" w:type="dxa"/>
            <w:vAlign w:val="bottom"/>
            <w:gridSpan w:val="6"/>
          </w:tcPr>
          <w:p>
            <w:pPr>
              <w:jc w:val="right"/>
              <w:ind w:right="832"/>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8"/>
        </w:trPr>
        <w:tc>
          <w:tcPr>
            <w:tcW w:w="2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 Change</w:t>
            </w:r>
          </w:p>
        </w:tc>
      </w:tr>
      <w:tr>
        <w:trPr>
          <w:trHeight w:val="152"/>
        </w:trPr>
        <w:tc>
          <w:tcPr>
            <w:tcW w:w="254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Interest and marketable securities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38"/>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100,280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45,194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45,194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1,287.2 %</w:t>
            </w:r>
          </w:p>
        </w:tc>
      </w:tr>
      <w:tr>
        <w:trPr>
          <w:trHeight w:val="22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(17,709)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r>
      <w:tr>
        <w:trPr>
          <w:trHeight w:val="22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(12,296)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3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05" w:lineRule="exact"/>
        <w:rPr>
          <w:sz w:val="20"/>
          <w:szCs w:val="20"/>
          <w:color w:val="auto"/>
        </w:rPr>
      </w:pPr>
    </w:p>
    <w:p>
      <w:pPr>
        <w:ind w:right="240" w:firstLine="318"/>
        <w:spacing w:after="0" w:line="252" w:lineRule="auto"/>
        <w:rPr>
          <w:sz w:val="20"/>
          <w:szCs w:val="20"/>
          <w:color w:val="auto"/>
        </w:rPr>
      </w:pPr>
      <w:r>
        <w:rPr>
          <w:rFonts w:ascii="Times New Roman" w:cs="Times New Roman" w:eastAsia="Times New Roman" w:hAnsi="Times New Roman"/>
          <w:sz w:val="18"/>
          <w:szCs w:val="18"/>
          <w:color w:val="auto"/>
        </w:rPr>
        <w:t>Interest and marketable securities income, net primarily consists of interest earned on invested cash and marketable securities balances and income and losses on mutual funds that are associated with our employee non-qualified deferred compensation plan. The increase to interest and marketable securities income, net for 2024 as compared to 2023, and 2023 as compared to 2022, was the result of increased cash, cash equivalents and marketable securities balances received from our August 2023 issuance of $1,265.0 million in par value of convertible senior notes due 2029 and higher interest rates, as well as increased gains associated with the non-qualified deferred compensation plan.</w:t>
      </w:r>
    </w:p>
    <w:p>
      <w:pPr>
        <w:spacing w:after="0" w:line="212"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Interest expense is related to our debt transactions, which are described in Note 11 to the consolidated financial statements included elsewhere in this annual report on Form 10-K. The increase to interest expense for 2024 as compared to 2023, and 2023 as compared to 2022, was primarily due to the August 2023 issuance of $1,265.0 million in par value of convertible senior notes due 2029.</w:t>
      </w:r>
    </w:p>
    <w:p>
      <w:pPr>
        <w:spacing w:after="0" w:line="204"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Other expense, net primarily represents net foreign exchange gains and losses mainly due to foreign exchange rate fluctuations on the remeasurement of monetary assets and liabilities that are not denominated in the functional currency as well as other non-operating expense and income items. Other expense, net for 2024 and 2022 also includes impairments of $5.1 million and $8.9 million, respectively, from cost method investments. Other expense, net may fluctuate in the future based on changes in foreign currency exchange rates or other events.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9"/>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60" w:type="dxa"/>
            <w:vAlign w:val="bottom"/>
            <w:gridSpan w:val="8"/>
          </w:tcPr>
          <w:p>
            <w:pPr>
              <w:jc w:val="right"/>
              <w:ind w:right="1212"/>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4000" w:type="dxa"/>
            <w:vAlign w:val="bottom"/>
            <w:gridSpan w:val="6"/>
          </w:tcPr>
          <w:p>
            <w:pPr>
              <w:jc w:val="right"/>
              <w:ind w:right="832"/>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8"/>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82,095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106,373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126,696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bl>
    <w:p>
      <w:pPr>
        <w:spacing w:after="0" w:line="300"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The decrease in the provision for income taxes for 2024 as compared to 2023 was mainly due to the benefit from an intercompany sale of intellectual property in 2024, an increase in the excess tax benefit related to stock-based compensation, lower profitability and an increase in the benefit of U.S. federal and state research and development credits. These amounts were partially offset by a decrease in foreign income taxed at lower rates, an increase in non-deductible transfer pricing and an increase in certain tax reserves.</w:t>
      </w:r>
    </w:p>
    <w:p>
      <w:pPr>
        <w:spacing w:after="0" w:line="207"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The decrease in the provision for income taxes for 2023 as compared to 2022 was mainly due to a reduction in intercompany sales of intellectual property and the tax on global intangible low-taxed income. These items were partially offset by a decrease in the excess tax benefit related to stock-based compensation and the revaluation of certain foreign income tax liabilities due to foreign exchange rate fluctuations.</w:t>
      </w:r>
    </w:p>
    <w:p>
      <w:pPr>
        <w:spacing w:after="0" w:line="204" w:lineRule="exact"/>
        <w:rPr>
          <w:sz w:val="20"/>
          <w:szCs w:val="20"/>
          <w:color w:val="auto"/>
        </w:rPr>
      </w:pPr>
    </w:p>
    <w:p>
      <w:pPr>
        <w:ind w:right="140" w:firstLine="318"/>
        <w:spacing w:after="0" w:line="282" w:lineRule="auto"/>
        <w:rPr>
          <w:sz w:val="20"/>
          <w:szCs w:val="20"/>
          <w:color w:val="auto"/>
        </w:rPr>
      </w:pPr>
      <w:r>
        <w:rPr>
          <w:rFonts w:ascii="Times New Roman" w:cs="Times New Roman" w:eastAsia="Times New Roman" w:hAnsi="Times New Roman"/>
          <w:sz w:val="17"/>
          <w:szCs w:val="17"/>
          <w:color w:val="auto"/>
        </w:rPr>
        <w:t>For the year ended December 31, 2024, our effective income tax rate was lower than the federal statutory tax rate due to the benefit of U.S. federal, state and foreign research and development credits, an intercompany sale of intellectual property, foreign income taxed at lower rates and the excess tax benefit related to stock-based compensation. These amounts were partially offset by non-deductible stock-based compensation and non-deductible transfer pricing.</w:t>
      </w:r>
    </w:p>
    <w:p>
      <w:pPr>
        <w:spacing w:after="0" w:line="185"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2023 and 2022, our effective income tax rate was lower than the federal statutory tax rate due to foreign income taxed at lower rates and the benefit of U.S. federal, state and foreign research and development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credits. These amounts were partially offset by non-deductible stock-based compensation and the tax on global intangible low-taxed income. Additionally, our effective income tax rate was lower for the year ended December 31, 2022 due to an intercompany sale of intellectual property.</w:t>
      </w:r>
    </w:p>
    <w:p>
      <w:pPr>
        <w:spacing w:after="0" w:line="190"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Our effective income tax rate may fluctuate between fiscal years and from quarter to quarter due to items arising from discrete events, such as tax benefits from the settlement of employee equity awards, tax law changes and settlements of tax audits and assessments. Our effective income tax rate is also impacted by, and may fluctuate in any given period because of, the composition of income in foreign jurisdictions where tax rates differ depending on the local statutory rates. The Organisation for Economic Co-operation and Development (“OECD”) and participating OECD member countries continue to work toward the enactment of a 15% global minimum corporate tax rate for large multinational enterprise groups, also known as "Pillar Two". Many of the participating countries have enacted legislation that became effective beginning in 2024, while other countries continue to work on defining the underlying rules and administrative procedures. Although the enactment and effective legislation in many countries was applicable to us beginning on January 1, 2024, and increased our effective income tax rate, the increase did not have a material impact on our overall results of operations or cash flows. We will continue to monitor and evaluate the impacts of the developing legislation.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Equity Method Investment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gridSpan w:val="8"/>
          </w:tcPr>
          <w:p>
            <w:pPr>
              <w:jc w:val="center"/>
              <w:ind w:right="720"/>
              <w:spacing w:after="0"/>
              <w:rPr>
                <w:sz w:val="20"/>
                <w:szCs w:val="20"/>
                <w:color w:val="auto"/>
              </w:rPr>
            </w:pPr>
            <w:r>
              <w:rPr>
                <w:rFonts w:ascii="Times New Roman" w:cs="Times New Roman" w:eastAsia="Times New Roman" w:hAnsi="Times New Roman"/>
                <w:sz w:val="18"/>
                <w:szCs w:val="18"/>
                <w:color w:val="auto"/>
                <w:w w:val="97"/>
              </w:rPr>
              <w:t>For the Years Ended December 31,</w:t>
            </w:r>
          </w:p>
        </w:tc>
        <w:tc>
          <w:tcPr>
            <w:tcW w:w="3980" w:type="dxa"/>
            <w:vAlign w:val="bottom"/>
            <w:gridSpan w:val="6"/>
          </w:tcPr>
          <w:p>
            <w:pPr>
              <w:jc w:val="right"/>
              <w:ind w:right="812"/>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 Change</w:t>
            </w:r>
          </w:p>
        </w:tc>
      </w:tr>
      <w:tr>
        <w:trPr>
          <w:trHeight w:val="152"/>
        </w:trPr>
        <w:tc>
          <w:tcPr>
            <w:tcW w:w="26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(Gain) loss from equity method</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3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100.0 %  $</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3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0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i w:val="1"/>
                <w:iCs w:val="1"/>
                <w:color w:val="auto"/>
              </w:rPr>
              <w:t>— %</w:t>
            </w:r>
          </w:p>
        </w:tc>
        <w:tc>
          <w:tcPr>
            <w:tcW w:w="30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i w:val="1"/>
                <w:iCs w:val="1"/>
                <w:color w:val="auto"/>
              </w:rPr>
              <w:t>— %</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05"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7"/>
          <w:szCs w:val="17"/>
          <w:color w:val="auto"/>
        </w:rPr>
        <w:t>The amounts reflected in (gain) loss from equity method investment relate to our investment with MUFG in a joint venture, GO-NET. GO-NET intended to operate a blockchain-based online payment network. However, GO-NET operations were suspended in February 2022, and ultimately liquidated in August 2023. The gain from equity method investment in 2023 was related to the liquidation and disbursement of our portion of GO-NET's remaining assets, which were previously impaired. The loss from equity method investment in 2022 was the result of our impairment of our investment in GO-NET in the first quarter of 2022 since the operations will no longer generate future cash flows. We do not expect additional activity related to this investment.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46"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In addition to providing financial measurements based on generally accepted accounting principles in the United States of America ("GAAP") we provide additional financial metrics that are not prepared in accordance with GAAP ("non-GAAP financial measures"). Management uses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non-GAAP income from operations, non-GAAP operating margin, non-GAAP net income, non-GAAP net income per diluted share, Adjusted EBITDA, Adjusted EBITDA margin and impact of foreign currency exchange rates, as discussed below.</w:t>
      </w:r>
    </w:p>
    <w:p>
      <w:pPr>
        <w:spacing w:after="0" w:line="212"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Management believes that these non-GAAP financial measures reflect our ongoing business in a manner that allows for meaningful comparisons and analysis of trends in the business, as they facilitate comparison of financial results across accounting periods and to those of our peer companies. Management also believes that these non-GAAP financial measures enable investors to evaluate our operating results and future prospects in the same manner as management. These non-GAAP financial measures may exclude expenses and gains that may be unusual in nature, infrequent or not reflective of our ongoing operating results.</w:t>
      </w:r>
    </w:p>
    <w:p>
      <w:pPr>
        <w:spacing w:after="0" w:line="212"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non-GAAP adjustments, and our basis for excluding them from non-GAAP financial measures, are outlined below:</w:t>
      </w:r>
    </w:p>
    <w:p>
      <w:pPr>
        <w:spacing w:after="0" w:line="242" w:lineRule="exact"/>
        <w:rPr>
          <w:sz w:val="20"/>
          <w:szCs w:val="20"/>
          <w:color w:val="auto"/>
        </w:rPr>
      </w:pPr>
    </w:p>
    <w:p>
      <w:pPr>
        <w:jc w:val="both"/>
        <w:ind w:left="640" w:right="440" w:hanging="316"/>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Amortization of acquired intangible assets </w:t>
      </w:r>
      <w:r>
        <w:rPr>
          <w:rFonts w:ascii="Times New Roman" w:cs="Times New Roman" w:eastAsia="Times New Roman" w:hAnsi="Times New Roman"/>
          <w:sz w:val="18"/>
          <w:szCs w:val="18"/>
          <w:color w:val="auto"/>
        </w:rPr>
        <w:t>– We have incurred amortization of intangible assets, included in our GAAP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various acquisitions we have made. The amount of an acquisition's purchase price allocated to intangible assets and term of its related amortization can vary significantly and is unique to each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40" w:right="400"/>
        <w:spacing w:after="0" w:line="274" w:lineRule="auto"/>
        <w:rPr>
          <w:sz w:val="20"/>
          <w:szCs w:val="20"/>
          <w:color w:val="auto"/>
        </w:rPr>
      </w:pPr>
      <w:r>
        <w:rPr>
          <w:rFonts w:ascii="Times New Roman" w:cs="Times New Roman" w:eastAsia="Times New Roman" w:hAnsi="Times New Roman"/>
          <w:sz w:val="18"/>
          <w:szCs w:val="18"/>
          <w:color w:val="auto"/>
        </w:rPr>
        <w:t>acquisition; therefore, we exclude amortization of acquired intangible assets from our non-GAAP financial measures to provide investors with a consistent basis for comparing pre- and post-acquisition operating results.</w:t>
      </w:r>
    </w:p>
    <w:p>
      <w:pPr>
        <w:spacing w:after="0" w:line="188" w:lineRule="exact"/>
        <w:rPr>
          <w:sz w:val="20"/>
          <w:szCs w:val="20"/>
          <w:color w:val="auto"/>
        </w:rPr>
      </w:pPr>
    </w:p>
    <w:p>
      <w:pPr>
        <w:ind w:left="640" w:right="40" w:hanging="316"/>
        <w:spacing w:after="0" w:line="250" w:lineRule="auto"/>
        <w:tabs>
          <w:tab w:leader="none" w:pos="63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and amortization of capitalized stock-based compensation </w:t>
      </w:r>
      <w:r>
        <w:rPr>
          <w:rFonts w:ascii="Times New Roman" w:cs="Times New Roman" w:eastAsia="Times New Roman" w:hAnsi="Times New Roman"/>
          <w:sz w:val="18"/>
          <w:szCs w:val="18"/>
          <w:color w:val="auto"/>
        </w:rPr>
        <w:t>– Stock-based compensation is an important aspect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paid to our employees, which includes long-term incentive plans to encourage retention, performance-based plans to encourage achievement of specified financial targets and also short-term incentive awards with a one year vest. The grant date fair value of the stock-based compensation awards varies based on the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and amortization of capitalized stock-based compensation from our non-GAAP financial measures in order to highlight the performance of our core business and to be consistent with the way many investors evaluate our performance and compare our operating results to peer companies.</w:t>
      </w:r>
    </w:p>
    <w:p>
      <w:pPr>
        <w:spacing w:after="0" w:line="209" w:lineRule="exact"/>
        <w:rPr>
          <w:rFonts w:ascii="Times New Roman" w:cs="Times New Roman" w:eastAsia="Times New Roman" w:hAnsi="Times New Roman"/>
          <w:sz w:val="18"/>
          <w:szCs w:val="18"/>
          <w:b w:val="1"/>
          <w:bCs w:val="1"/>
          <w:color w:val="auto"/>
        </w:rPr>
      </w:pPr>
    </w:p>
    <w:p>
      <w:pPr>
        <w:ind w:left="640" w:right="80" w:hanging="316"/>
        <w:spacing w:after="0" w:line="250"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Acquisition-related costs </w:t>
      </w:r>
      <w:r>
        <w:rPr>
          <w:rFonts w:ascii="Times New Roman" w:cs="Times New Roman" w:eastAsia="Times New Roman" w:hAnsi="Times New Roman"/>
          <w:sz w:val="18"/>
          <w:szCs w:val="18"/>
          <w:color w:val="auto"/>
        </w:rPr>
        <w:t>– Acquisition-related costs include transaction fees, advisory fees, due diligence costs and other direct costs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strategic activities, as well as certain additional compensation costs payable to employees acquired from the Linode acquisition if employed for a certain period of time. The additional compensation cost was initiated by and determined by the seller and is in addition to normal levels of compensation, including retention programs, offered by Akamai. Acquisition-related costs are impacted by the timing and size of the acquisitions, and we exclude acquisition-related costs from our non-GAAP financial measures to provide a useful comparison of operating results to prior periods and to peer companies because such amounts vary significantly based on the magnitude of our acquisition transactions and do not reflect our core operations.</w:t>
      </w:r>
    </w:p>
    <w:p>
      <w:pPr>
        <w:spacing w:after="0" w:line="213" w:lineRule="exact"/>
        <w:rPr>
          <w:rFonts w:ascii="Times New Roman" w:cs="Times New Roman" w:eastAsia="Times New Roman" w:hAnsi="Times New Roman"/>
          <w:sz w:val="18"/>
          <w:szCs w:val="18"/>
          <w:color w:val="auto"/>
        </w:rPr>
      </w:pPr>
    </w:p>
    <w:p>
      <w:pPr>
        <w:ind w:left="640" w:right="60" w:hanging="316"/>
        <w:spacing w:after="0" w:line="250" w:lineRule="auto"/>
        <w:tabs>
          <w:tab w:leader="none" w:pos="63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charge </w:t>
      </w:r>
      <w:r>
        <w:rPr>
          <w:rFonts w:ascii="Times New Roman" w:cs="Times New Roman" w:eastAsia="Times New Roman" w:hAnsi="Times New Roman"/>
          <w:sz w:val="18"/>
          <w:szCs w:val="18"/>
          <w:color w:val="auto"/>
        </w:rPr>
        <w:t>– We have incurred restructuring charges from programs that have significantly changed either the scope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undertaken by us or the manner in which that business is conducted. These charges include severance and related expenses for workforce reductions, impairments of long-lived assets that will no longer be used in operations (including acquired intangible assets, right-of-use assets, other facility-related property and equipment and internal-use software) and termination fees for any contracts cancelled as part of these programs. We exclude these items from our non-GAAP financial measures when evaluating our continuing business performance as such items vary significantly based on the magnitude of the restructuring action and do not reflect expected future operating expenses. In addition, these charges do not necessarily provide meaningful insight into the fundamentals of current or past operations of our business.</w:t>
      </w:r>
    </w:p>
    <w:p>
      <w:pPr>
        <w:spacing w:after="0" w:line="213" w:lineRule="exact"/>
        <w:rPr>
          <w:rFonts w:ascii="Times New Roman" w:cs="Times New Roman" w:eastAsia="Times New Roman" w:hAnsi="Times New Roman"/>
          <w:sz w:val="18"/>
          <w:szCs w:val="18"/>
          <w:b w:val="1"/>
          <w:bCs w:val="1"/>
          <w:color w:val="auto"/>
        </w:rPr>
      </w:pPr>
    </w:p>
    <w:p>
      <w:pPr>
        <w:ind w:left="640" w:right="100" w:hanging="316"/>
        <w:spacing w:after="0" w:line="261"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Amortization of debt issuance costs and capitalized interest expense </w:t>
      </w:r>
      <w:r>
        <w:rPr>
          <w:rFonts w:ascii="Times New Roman" w:cs="Times New Roman" w:eastAsia="Times New Roman" w:hAnsi="Times New Roman"/>
          <w:sz w:val="18"/>
          <w:szCs w:val="18"/>
          <w:color w:val="auto"/>
        </w:rPr>
        <w:t>– We have convertible senior notes outstanding that mature in 2029, 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2025. The issuance costs of the convertible senior notes are amortized to interest expense and are excluded from our non-GAAP results because management believes the non-cash amortization expense is not representative of ongoing operating performance.</w:t>
      </w:r>
    </w:p>
    <w:p>
      <w:pPr>
        <w:spacing w:after="0" w:line="199" w:lineRule="exact"/>
        <w:rPr>
          <w:rFonts w:ascii="Times New Roman" w:cs="Times New Roman" w:eastAsia="Times New Roman" w:hAnsi="Times New Roman"/>
          <w:sz w:val="18"/>
          <w:szCs w:val="18"/>
          <w:color w:val="auto"/>
        </w:rPr>
      </w:pPr>
    </w:p>
    <w:p>
      <w:pPr>
        <w:jc w:val="both"/>
        <w:ind w:left="640" w:right="220" w:hanging="316"/>
        <w:spacing w:after="0" w:line="269" w:lineRule="auto"/>
        <w:tabs>
          <w:tab w:leader="none" w:pos="635"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Gains and losses on cost method investments </w:t>
      </w:r>
      <w:r>
        <w:rPr>
          <w:rFonts w:ascii="Times New Roman" w:cs="Times New Roman" w:eastAsia="Times New Roman" w:hAnsi="Times New Roman"/>
          <w:sz w:val="17"/>
          <w:szCs w:val="17"/>
          <w:color w:val="auto"/>
        </w:rPr>
        <w:t>– We have recorded gains and losses from the disposition, changes to fair value and impairment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 method investments. We believe excluding these amounts from our non-GAAP financial measures is useful to investors as the types of events giving rise to these gains and losses are not representative of our core business operations and ongoing operating performance.</w:t>
      </w:r>
    </w:p>
    <w:p>
      <w:pPr>
        <w:ind w:left="640" w:right="340" w:hanging="316"/>
        <w:spacing w:after="0" w:line="280"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Legal settlements </w:t>
      </w:r>
      <w:r>
        <w:rPr>
          <w:rFonts w:ascii="Times New Roman" w:cs="Times New Roman" w:eastAsia="Times New Roman" w:hAnsi="Times New Roman"/>
          <w:sz w:val="17"/>
          <w:szCs w:val="17"/>
          <w:color w:val="auto"/>
        </w:rPr>
        <w:t>– We have incurred losses related to the settlement of legal matters. We believe excluding these amounts from our non-GAAP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measures is useful to investors as the types of events giving rise to them are not representative of our core business operations.</w:t>
      </w:r>
    </w:p>
    <w:p>
      <w:pPr>
        <w:spacing w:after="0" w:line="185" w:lineRule="exact"/>
        <w:rPr>
          <w:rFonts w:ascii="Times New Roman" w:cs="Times New Roman" w:eastAsia="Times New Roman" w:hAnsi="Times New Roman"/>
          <w:sz w:val="17"/>
          <w:szCs w:val="17"/>
          <w:color w:val="auto"/>
        </w:rPr>
      </w:pPr>
    </w:p>
    <w:p>
      <w:pPr>
        <w:ind w:left="640" w:right="300" w:hanging="316"/>
        <w:spacing w:after="0" w:line="261"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Gains and losses from equity method investment </w:t>
      </w:r>
      <w:r>
        <w:rPr>
          <w:rFonts w:ascii="Times New Roman" w:cs="Times New Roman" w:eastAsia="Times New Roman" w:hAnsi="Times New Roman"/>
          <w:sz w:val="18"/>
          <w:szCs w:val="18"/>
          <w:color w:val="auto"/>
        </w:rPr>
        <w:t>– We record income or losses on our share of earnings and losses from our equity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and any gains from returns of investments or impairments. We exclude such income and losses because we do not have direct control over the operations of the investment and the related income and losses are not representative of our core business operations.</w:t>
      </w:r>
    </w:p>
    <w:p>
      <w:pPr>
        <w:spacing w:after="0" w:line="199" w:lineRule="exact"/>
        <w:rPr>
          <w:rFonts w:ascii="Times New Roman" w:cs="Times New Roman" w:eastAsia="Times New Roman" w:hAnsi="Times New Roman"/>
          <w:sz w:val="18"/>
          <w:szCs w:val="18"/>
          <w:color w:val="auto"/>
        </w:rPr>
      </w:pPr>
    </w:p>
    <w:p>
      <w:pPr>
        <w:ind w:left="640" w:hanging="316"/>
        <w:spacing w:after="0" w:line="253"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effect of non-GAAP adjustments and certain discrete tax items </w:t>
      </w:r>
      <w:r>
        <w:rPr>
          <w:rFonts w:ascii="Times New Roman" w:cs="Times New Roman" w:eastAsia="Times New Roman" w:hAnsi="Times New Roman"/>
          <w:sz w:val="18"/>
          <w:szCs w:val="18"/>
          <w:color w:val="auto"/>
        </w:rPr>
        <w:t>– The non-GAAP adjustments described above are reported on a pre-tax basis. The income tax effect of non-GAAP adjustments is the difference between GAAP and non-GAAP income tax expense. Non-GAAP income tax expense is computed on non-GAAP pre-tax income (GAAP pre-tax income adjusted for non-GAAP adjustments) and excludes certain discrete tax items (such as the impact of intercompany sales of intellectual property related to our acquisitions), if any. We believe that applying the non-GAAP adjustments and their related income tax effect allows us to highlight income attributable to our core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GAAP income from operations to non-GAAP income from operations and non-GAAP operating margin for the years ended December 31, 2024, 2023 and 2022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533,411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637,338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676,274</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92,081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66,751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64,983</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393,378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328,467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217,185</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stock-based compensation and capitalized interest expense</w:t>
            </w:r>
          </w:p>
        </w:tc>
        <w:tc>
          <w:tcPr>
            <w:tcW w:w="32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42,910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32,981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31,768</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56,643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13,529</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2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13,345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29,049</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1,167,223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1,135,525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1,032,788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GAAP operating margin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25"/>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GAAP net income to non-GAAP net income for the years ended December 31, 2024, 2023 and 2022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523,672</w:t>
            </w: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64,983</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217,185</w:t>
            </w: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stock-based compensation and capitalized interest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29,049</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cost method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 of above non-GAAP adjustments and certain discrete tax items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(42,768)</w:t>
            </w:r>
          </w:p>
        </w:tc>
      </w:tr>
      <w:tr>
        <w:trPr>
          <w:trHeight w:val="218"/>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net income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960,007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857,708</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GAAP net income per diluted share to non-GAAP net income per diluted share for the years ended December 31, 2024, 2023 and 2022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 per diluted share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5"/>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5"/>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capitalized stock-based compensation and capitalized 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5"/>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25"/>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25"/>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settlements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5"/>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on cost method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5"/>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5"/>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effect of above non-GAAP adjustments and certain discrete tax items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25"/>
        </w:trPr>
        <w:tc>
          <w:tcPr>
            <w:tcW w:w="69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Adjustment for shares </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8"/>
        </w:trPr>
        <w:tc>
          <w:tcPr>
            <w:tcW w:w="698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Non-GAAP net income per diluted share </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GAAP per diluted share calculations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160,467</w:t>
            </w:r>
          </w:p>
        </w:tc>
      </w:tr>
      <w:tr>
        <w:trPr>
          <w:trHeight w:val="225"/>
        </w:trPr>
        <w:tc>
          <w:tcPr>
            <w:tcW w:w="69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Impact of benefit from note hedge transactions </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18"/>
        </w:trPr>
        <w:tc>
          <w:tcPr>
            <w:tcW w:w="698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Shares used in non-GAAP per diluted share calculations </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153,602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159,747</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220" w:right="100" w:hanging="214"/>
        <w:spacing w:after="0" w:line="271" w:lineRule="auto"/>
        <w:tabs>
          <w:tab w:leader="none" w:pos="2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used in non-GAAP per diluted share calculations have been adjusted for the periods presented for the benefit of our note hedge transactions. During these periods, our average stock price was in excess of $95.10, which is the initial conversion price of our convertible senior notes due in 2025. See further definition below.</w:t>
      </w:r>
    </w:p>
    <w:p>
      <w:pPr>
        <w:spacing w:after="0" w:line="206"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may not foot due to rounding.</w:t>
      </w:r>
    </w:p>
    <w:p>
      <w:pPr>
        <w:spacing w:after="0" w:line="254"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7"/>
          <w:szCs w:val="17"/>
          <w:color w:val="auto"/>
        </w:rPr>
        <w:t>Non-GAAP net income per diluted share is calculated as non-GAAP net income divided by weighted average diluted common shares outstanding. Diluted weighted average common shares outstanding are adjusted in non-GAAP per share calculations for the shares that would be delivered to us pursuant to the note hedge transactions entered into in connection with the issuance of $1,265 million of convertible senior notes due 2029 and the issuances of $1,150 million of convertible senior notes due 2027 and 2025, respectively. Under GAAP, shares delivered under hedge transactions are not considered offsetting shares in the fully-diluted share calculation until they are delivered. However, we would receive a benefit from the note hedge transactions and would not allow the dilution to occur, so management believes that adjusting for this benefit provides a meaningful view of operating performance. With respect to the convertible senior notes due in each of 2029, 2027 and 2025, unless our weighted average stock price is greater than $126.31, $116.18 and $95.10, respectively, the initial conversion prices, there will be no difference between GAAP and non-GAAP diluted weighted average common shares outstanding.</w:t>
      </w:r>
    </w:p>
    <w:p>
      <w:pPr>
        <w:spacing w:after="0" w:line="201"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We consider Adjusted EBITDA to be another important indicator of the operational strength and performance of our business and a good measure of our historical operating trends. Adjusted EBITDA eliminates items that we do not consider to be part of our core operations. We define Adjusted EBITDA as GAAP net income excluding the following items: interest and marketable securities income and losses; income taxes; depreciation and amortization of tangible and intangible assets; stock-based compensation; amortization of capitalized stock-based compensation; acquisition-related costs; restructuring charges; legal settlements; foreign exchange gains and losses; interest expense; amortization of capitalized interest expense; gains and losses on cost method investments; gains and losses from equity method investments; and other non-recurring or unusual items that may arise from time to time. Adjusted EBITDA margin represents Adjusted EBITDA stated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GAAP net income to Adjusted EBITDA and Adjusted EBITDA margin for the years ended December 31, 2024, 2023 and 2022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2022</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504,918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547,629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523,672</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92,081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66,751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64,983</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393,378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328,467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217,185</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stock-based compensation and capitalized interest expense</w:t>
            </w:r>
          </w:p>
        </w:tc>
        <w:tc>
          <w:tcPr>
            <w:tcW w:w="3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42,910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32,981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31,768</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56,643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13,529</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13,345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29,049</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marketable securities income, net</w:t>
            </w:r>
          </w:p>
        </w:tc>
        <w:tc>
          <w:tcPr>
            <w:tcW w:w="3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(100,280)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(45,194)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(3,258)</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17,709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11,096</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82,095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106,373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126,696</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514,455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472,035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496,909</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cost method investments</w:t>
            </w:r>
          </w:p>
        </w:tc>
        <w:tc>
          <w:tcPr>
            <w:tcW w:w="3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8,260</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7,635</w:t>
            </w: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14,495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2,173</w:t>
            </w:r>
          </w:p>
        </w:tc>
      </w:tr>
      <w:tr>
        <w:trPr>
          <w:trHeight w:val="243"/>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1,681,678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1,607,560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1,529,697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31"/>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Foreign Currency Exchange Rates</w:t>
      </w:r>
    </w:p>
    <w:p>
      <w:pPr>
        <w:spacing w:after="0" w:line="246" w:lineRule="exact"/>
        <w:rPr>
          <w:sz w:val="20"/>
          <w:szCs w:val="20"/>
          <w:color w:val="auto"/>
        </w:rPr>
      </w:pPr>
    </w:p>
    <w:p>
      <w:pPr>
        <w:ind w:right="120" w:firstLine="318"/>
        <w:spacing w:after="0" w:line="282" w:lineRule="auto"/>
        <w:rPr>
          <w:sz w:val="20"/>
          <w:szCs w:val="20"/>
          <w:color w:val="auto"/>
        </w:rPr>
      </w:pPr>
      <w:r>
        <w:rPr>
          <w:rFonts w:ascii="Times New Roman" w:cs="Times New Roman" w:eastAsia="Times New Roman" w:hAnsi="Times New Roman"/>
          <w:sz w:val="17"/>
          <w:szCs w:val="17"/>
          <w:color w:val="auto"/>
        </w:rPr>
        <w:t>Revenue and earnings from our international operations have historically been an important contributor to our financial results. Consequently, our financial results have been impacted, and management expects they will continue to be impacted, by fluctuations in foreign currency exchange rates. For example, when the local currencies of our international subsidiaries weaken, generally our consolidated results stated in U.S. dollars are negatively impacted.</w:t>
      </w:r>
    </w:p>
    <w:p>
      <w:pPr>
        <w:spacing w:after="0" w:line="185"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Because exchange rates are a meaningful factor in understanding period-to-period comparisons, management believes the presentation of the impact of foreign currency exchange rates on revenue and earnings enhances the understanding of our financial results and evaluation of performance in comparison to prior periods. The dollar impact of changes in foreign currency exchange rates presented is calculated by translating current period results using monthly average foreign currency exchange rates from the comparative period and comparing them to the reported amount. The percentage change at constant currency presented is calculated by comparing the prior period amounts as reported and the current period amounts translated using the same monthly average foreign currency exchange rates from the comparative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and private sales of debt and equity securities and cash generated by operations. As of December 31, 2024, our cash, cash equivalents and marketable securities, which are detailed in Note 3 to the consolidated financial statements included elsewhere in this annual report on Form 10-K, totaled $1.9 billion. We place our cash investments in instruments that meet high-quality credit standards, as specified in our investment policy. Our investment policy is designed to limit the amount of our credit exposure to any one issue or issuer and seeks to manage these assets to achieve our goals of preserving principal and maintaining adequate liquidity at all times.</w:t>
      </w:r>
    </w:p>
    <w:p>
      <w:pPr>
        <w:spacing w:after="0" w:line="212"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Changes in cash, cash equivalents and marketable securities are dependent upon changes in, among other things, working capital items such as accounts receivable, deferred revenue, accounts payable, various accrued expenses and operating lease obligations, as well as changes in our capital and financial structure due to common stock repurchases, debt repayments and issuances, purchases and sales of marketable securities, cash paid for acquisitions and similar events. We believe our strong balance sheet and cash position are important competitive differentiators that provide the financial stability and flexibility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enable us to continue to make investments at opportune times. We expect to continue to evaluate strategic investments to strengthen our business.</w:t>
      </w:r>
    </w:p>
    <w:p>
      <w:pPr>
        <w:spacing w:after="0" w:line="244" w:lineRule="exact"/>
        <w:rPr>
          <w:sz w:val="20"/>
          <w:szCs w:val="20"/>
          <w:color w:val="auto"/>
        </w:rPr>
      </w:pPr>
    </w:p>
    <w:p>
      <w:pPr>
        <w:ind w:right="60" w:firstLine="318"/>
        <w:spacing w:after="0" w:line="282" w:lineRule="auto"/>
        <w:rPr>
          <w:sz w:val="20"/>
          <w:szCs w:val="20"/>
          <w:color w:val="auto"/>
        </w:rPr>
      </w:pPr>
      <w:r>
        <w:rPr>
          <w:rFonts w:ascii="Times New Roman" w:cs="Times New Roman" w:eastAsia="Times New Roman" w:hAnsi="Times New Roman"/>
          <w:sz w:val="17"/>
          <w:szCs w:val="17"/>
          <w:color w:val="auto"/>
        </w:rPr>
        <w:t>As of December 31, 2024, we had cash and cash equivalents of $300.3 million held in accounts outside the U.S. The U.S. Tax Cuts and Jobs Act establishes a territorial tax system in the U.S., which provides companies with the potential ability to repatriate earnings with minimal U.S. federal income tax impact. As a result, our liquidity is not expected to be materially impacted by the amount of cash and cash equivalents held in accounts outside the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8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523,672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reconciling items included in net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756,321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18"/>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1,519,171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1,348,439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1,274,676</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increase in cash provided by operating activities for 2024 as compared to 2023 was due to increased collections from customers as a result of increased revenue and timing of customer collections. The increase was also due to the shift in our performance-based compensation program from cash-based to stock-based, which led to cash performance-based program payments in 2023 that did not recur in 2024.</w:t>
      </w:r>
    </w:p>
    <w:p>
      <w:pPr>
        <w:spacing w:after="0" w:line="204"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The increase in cash provided by operating activities for 2023 as compared to 2022 was due to increased profitability in 2023, as well as cash paid for income taxes related to an intercompany sale of intellectual property and additional compensation costs paid to employees acquired from the Linode acquisition, both of which occurred in 2022 and did not re-occur in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8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business acquisitions, net of cash acquired</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(872,091)</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asset acquisitions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69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Purchases of property and equipment and capitalization of internal-use software development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(458,302)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marketable securities activity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714,205</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1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(622,310)</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decrease in cash used in investing activities in 2024 as compared to 2023 was due to an increase in cash proceeds from net marketable securities activity to fund the acquisition of Noname Security in 2024 and a reduction of purchases of property and equipment related to our compute platform build-out. Additionally, cash used in investing activities in 2023 included an increase in purchases of marketable securities with the proceeds from our August 2023 issuance of convertible senior notes. These decreases were partially offset by cash paid for the acquisition of Noname Security.</w:t>
      </w:r>
    </w:p>
    <w:p>
      <w:pPr>
        <w:spacing w:after="0" w:line="207"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increase in cash used in investing activities in 2023 as compared to 2022 was due to an increase in purchases of marketable securities with the proceeds from our August 2023 issuance of convertible senior notes and purchases of property and equipment related to our compute platform build-out. These increases were partially offset by cash paid for the acquisition of Linode in March 2022 and by net marketable securities activity as we sold marketable securities during 2022 to fund the acquisition.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Financing Activities</w:t>
      </w:r>
    </w:p>
    <w:p>
      <w:pPr>
        <w:spacing w:after="0" w:line="28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convertible senior notes activity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(608,010)</w:t>
            </w:r>
          </w:p>
        </w:tc>
      </w:tr>
      <w:tr>
        <w:trPr>
          <w:trHeight w:val="225"/>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43"/>
        </w:trPr>
        <w:tc>
          <w:tcPr>
            <w:tcW w:w="6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(634,177)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increase in cash used in financing activities in 2024 as compared to 2023 was due to the net proceeds received in 2023 from our convertible senior notes due 2029 that did not recur in 2024 and increased employee taxes paid in 2024 related to vesting of stock awards driven by the shift in our performance-based compensation program from cash-based to stock-based and an increase in stock price. These increases were partially offset by a reduction in repurchases of our common stock as part of our share repurchase program.</w:t>
      </w:r>
    </w:p>
    <w:p>
      <w:pPr>
        <w:spacing w:after="0" w:line="207"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The increase in cash used in financing activities in 2023 as compared to 2022 was due to the net proceeds from our convertible senior notes due 2029 that were issued in August 2023. This increase was partially offset by an increase in repurchases of our common stock.</w:t>
      </w:r>
    </w:p>
    <w:p>
      <w:pPr>
        <w:spacing w:after="0" w:line="190"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In October 2021, our board of directors authorized a $1.8 billion share repurchase program that was effective from January 2022 through December 2024. In May 2024, our board of directors authorized a new $2.0 billion share repurchase program, effective May 2024 through June 2027, which was in addition to amounts remaining under the January 2022 program. As of December 31, 2024, the January 2022 $1.8 billion program was fully utilized and $2.0 billion remains available for repurchase on the May 2024 program. During 2024, 2023 and 2022, we repurchased 5.6 million, 7.8 million and 6.4 million shares of our common stock, respectively, at an average price per share of $99.14, $83.83 and $94.96, respectively. Our goals for the share repurchase programs are to offset the dilution created by our employee equity compensation programs over time and provide the flexibility to return capital to stockholders as business and market conditions warrant, while still preserving our ability to pursue other strategic opportunities. The timing and amount of any future share repurchases will be determined by our management based on its evaluation of market conditions and other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46"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we had $3,565.0 million of convertible senior notes outstanding that are senior unsecured obligations and bear interest payable semi-annually in arrears. These notes mature between May 2025 and February 2029. The terms of the notes and hedge and warrant transactions are discussed more fully in Note 11 to the consolidated financial statements included elsewhere in this annual report on Form 10-K.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46"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In November 2022, we entered into a $500.0 million, five-year revolving credit agreement ("2022 Credit Agreement"). The 2022 Credit Agreement allows us to borrow up to $500.0 million at various interest rates and contains customary representations and warranties, affirmative and negative covenants and events of default. As of December 31, 2024, we were in compliance with all covenants.</w:t>
      </w:r>
    </w:p>
    <w:p>
      <w:pPr>
        <w:spacing w:after="0" w:line="204"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There were no outstanding borrowings under the 2022 Credit Agreement as of December 31, 2024. The terms of the revolving credit agreements are discussed more fully in Note 11 to the consolidated financial statements included elsewhere in this annual report on Form 10-K.</w:t>
      </w:r>
    </w:p>
    <w:p>
      <w:pPr>
        <w:spacing w:after="0" w:line="190" w:lineRule="exact"/>
        <w:rPr>
          <w:sz w:val="20"/>
          <w:szCs w:val="20"/>
          <w:color w:val="auto"/>
        </w:r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auto"/>
        </w:rPr>
        <w:t>In January 2025, we entered into a $150.0 million uncommitted revolving credit agreement ("2025 Credit Agreement"). The 2025 Credit Agreement contains customary representations and warranties, affirmative and negative covenants and events of default. Any borrowings are secured by collateral consisting primarily of available-for-sale debt securities in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4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have entered into operating leases for real estate assets related to office space and co-location assets related to space or racks at co-location facilities and related equipment for our servers and other networking equipment. As of December 31, 2024 the total obligation under these agreements was $1,231.6 million, of which $263.1 million is payable in the next 12 months. We have also executed additional operating leases that will commence in 2025 for $197.0 million. Additionally, during the fourth quarter of 2024, we entered into an operating lease with a data center operator for space in the Virginia area that is expected to commence beginning in the third quarter of 2025. The lease is for a datacenter with gross payments of approximately $750.0 million over a 12 year lease term. We have contemporaneously entered into a sublease with the affiliate of a large social media customer for the use of the space on substantially similar terms. The operating lease costs and associated sublease income will be recorded as general and administrative expense in the consolidated statements of income and are expected to substantially offset each other. The operating lease terms and maturities are discussed more fully in Note 12 to the consolidated financial statements included elsewhere in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46" w:lineRule="exact"/>
        <w:rPr>
          <w:sz w:val="20"/>
          <w:szCs w:val="20"/>
          <w:color w:val="auto"/>
        </w:rPr>
      </w:pPr>
    </w:p>
    <w:p>
      <w:pPr>
        <w:jc w:val="both"/>
        <w:ind w:right="320" w:firstLine="318"/>
        <w:spacing w:after="0" w:line="255" w:lineRule="auto"/>
        <w:rPr>
          <w:sz w:val="20"/>
          <w:szCs w:val="20"/>
          <w:color w:val="auto"/>
        </w:rPr>
      </w:pPr>
      <w:r>
        <w:rPr>
          <w:rFonts w:ascii="Times New Roman" w:cs="Times New Roman" w:eastAsia="Times New Roman" w:hAnsi="Times New Roman"/>
          <w:sz w:val="18"/>
          <w:szCs w:val="18"/>
          <w:color w:val="auto"/>
        </w:rPr>
        <w:t>We enter into long-term agreements with network and internet service providers for bandwidth, as well as execute purchase orders for the purchase of goods or services in the ordinary course of business, which may contain minimum commitments. These minimum commitments may vary from period to period depending on the timing and length of contract renewals with our vendors, and on our plans for network expansion, including our expansion plans related to our compute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Outlook</w:t>
      </w:r>
    </w:p>
    <w:p>
      <w:pPr>
        <w:spacing w:after="0" w:line="246"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7"/>
          <w:szCs w:val="17"/>
          <w:color w:val="auto"/>
        </w:rPr>
        <w:t>Based on our present business plan, we expect our current cash, cash equivalents and marketable securities balances and our forecasted cash flows from operations to be sufficient to meet our foreseeable cash needs for at least the next 12 months. Our foreseeable cash needs, in addition to our recurring operating costs, include our expected capital expenditures, investments in information technology, potential strategic acquisitions, anticipated share repurchases, lease and purchase commitments, settlements of other liabilities and repayment of our $1,150.0 million convertible senior notes due May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6"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have entered into indemnification agreements with third parties, including vendors, customers, landlords, our officers and directors, stockholders of acquired companies, joint venture partners and third parties to which we license technology. Generally, these indemnification agreements require us to reimburse losses suffered by a third party due to various events, such as lawsuits arising from patent or copyright infringement or our negligence. These indemnification obligations are considered off-balance sheet arrangements in accordance with the authoritative guidance for guarantor’s accounting and disclosure requirements for guarantees, including indirect guarantees of indebtedness of others. See Note 13 to our consolidated financial statements included elsewhere in this annual report on Form 10-K for further discussion of these indemnification agreements. The fair value of guarantees issued or modified during 2024 and 2023 was determined to be immaterial.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46"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See Note 2 to the consolidated financial statements included elsewhere in this annual report on Form 10-K for information regarding recent and newly adopted accounting pronouncements.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8" w:lineRule="exact"/>
        <w:rPr>
          <w:sz w:val="20"/>
          <w:szCs w:val="20"/>
          <w:color w:val="auto"/>
        </w:rPr>
      </w:pPr>
    </w:p>
    <w:p>
      <w:pPr>
        <w:ind w:right="120" w:firstLine="318"/>
        <w:spacing w:after="0" w:line="267" w:lineRule="auto"/>
        <w:rPr>
          <w:sz w:val="20"/>
          <w:szCs w:val="20"/>
          <w:color w:val="auto"/>
        </w:rPr>
      </w:pPr>
      <w:r>
        <w:rPr>
          <w:rFonts w:ascii="Times New Roman" w:cs="Times New Roman" w:eastAsia="Times New Roman" w:hAnsi="Times New Roman"/>
          <w:sz w:val="17"/>
          <w:szCs w:val="17"/>
          <w:color w:val="auto"/>
        </w:rPr>
        <w:t>Our MD&amp;A is based upon our consolidated financial statements, which have been prepared in accordance with GAAP. These principles require us to make estimates and judgments that affect the reported amounts of assets, liabilities, revenue and expenses, cash flow and related disclosure of contingent assets and liabilities. Our estimates include those related to revenue recognition, accounts receivable and related reserves, valuation and impairment of marketable securities, capitalized internal-use software development costs, goodwill and acquired intangible assets, income tax reserves, impairment and useful lives of long-lived assets and stock-based compensation. We base our estimates on historical experience and on various other assumptions that we believe to be reasonable under the circumstances at the time such estimates are made. Actual results may differ from these estimates. For a complete description of our significant accounting policies, see Note 2 to our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4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We define our critical accounting policies as those policies that require us to make subjective estimates and judgments about matters that are uncertain and are likely to have a material impact on our consolidated financial statements. Our estimates are based upon assumptions and judgments about matters that are highly uncertain at the time an accounting estimate is made and applied and require us to assess a range of potential outcomes.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Critical Accounting Policies and Estimates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6" w:lineRule="exact"/>
        <w:rPr>
          <w:sz w:val="20"/>
          <w:szCs w:val="20"/>
          <w:color w:val="auto"/>
        </w:rPr>
      </w:pPr>
    </w:p>
    <w:p>
      <w:pPr>
        <w:ind w:right="300" w:firstLine="318"/>
        <w:spacing w:after="0" w:line="252" w:lineRule="auto"/>
        <w:rPr>
          <w:sz w:val="20"/>
          <w:szCs w:val="20"/>
          <w:color w:val="auto"/>
        </w:rPr>
      </w:pPr>
      <w:r>
        <w:rPr>
          <w:rFonts w:ascii="Times New Roman" w:cs="Times New Roman" w:eastAsia="Times New Roman" w:hAnsi="Times New Roman"/>
          <w:sz w:val="18"/>
          <w:szCs w:val="18"/>
          <w:color w:val="auto"/>
        </w:rPr>
        <w:t>Our contracts with customers sometimes include promises to transfer multiple services to a customer. Determining whether services are distinct performance obligations often requires the exercise of judgment by management. Advanced features that enhance a main product or service and are highly interrelated are generally not considered distinct; rather, they are combined with the service they relate to into one performance obligation. Different determinations related to combining services into performance obligations could result in differences in the timing and amount of revenue recognized in a period.</w:t>
      </w:r>
    </w:p>
    <w:p>
      <w:pPr>
        <w:spacing w:after="0" w:line="212"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Determination of the standalone selling price ("SSP") for each distinct performance obligation in a contract also requires the exercise of judgment by management. SSP is based on observable inputs such as the price we charge for the service when sold separately, or the discounted list price per management’s approved price list. In cases where services are not sold separately or price list rates are not available, a cost-plus-margin approach or adjusted market approach is used to determine SSP. Changes to SSP could result in differences in the allocation of transaction price among performance obligations, which could result in differences in the timing and amount of revenue recognized in a period.</w:t>
      </w:r>
    </w:p>
    <w:p>
      <w:pPr>
        <w:spacing w:after="0" w:line="212" w:lineRule="exact"/>
        <w:rPr>
          <w:sz w:val="20"/>
          <w:szCs w:val="20"/>
          <w:color w:val="auto"/>
        </w:rPr>
      </w:pPr>
    </w:p>
    <w:p>
      <w:pPr>
        <w:ind w:right="220" w:firstLine="318"/>
        <w:spacing w:after="0" w:line="252" w:lineRule="auto"/>
        <w:rPr>
          <w:sz w:val="20"/>
          <w:szCs w:val="20"/>
          <w:color w:val="auto"/>
        </w:rPr>
      </w:pPr>
      <w:r>
        <w:rPr>
          <w:rFonts w:ascii="Times New Roman" w:cs="Times New Roman" w:eastAsia="Times New Roman" w:hAnsi="Times New Roman"/>
          <w:sz w:val="18"/>
          <w:szCs w:val="18"/>
          <w:color w:val="auto"/>
        </w:rPr>
        <w:t>From time to time, we enter into contracts to sell services or license technology to unrelated enterprises at or about the same time that we enter into contracts to purchase products or services from the same enterprises. Consideration payable to a customer is reviewed as part of the transaction price. If the payment to the customer does not represent payment for a distinct service, revenue is recognized only up to the net amount of consideration after customer payment obligations are considered. Different determinations on whether a payment represents a distinct service could result in differences in the amount of revenue recognized.</w:t>
      </w:r>
    </w:p>
    <w:p>
      <w:pPr>
        <w:spacing w:after="0" w:line="212"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We may also resell licenses or services of third parties. If we are acting as an agent in an arrangement with a customer to provide third party services, the transaction price reflects only the net amount to which we will be entitled, after accounting for payments made to the third party responsible for satisfying the performance obligation. Different determinations on whether we are acting as an agent or a principal could change the amount of revenue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Related Reserves</w:t>
      </w:r>
    </w:p>
    <w:p>
      <w:pPr>
        <w:spacing w:after="0" w:line="246"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amounts and do not bear interest. In addition to trade accounts receivable, our accounts receivable balance includes unbilled accounts that represent revenue recorded for customers that is typically billed within one month. We record allowances against our accounts receivable balance, primarily for current expected credit losses. Increases and decreases in the allowance for current expected credit losses are included as a component of general and administrative expense in the consolidated statements of income.</w:t>
      </w:r>
    </w:p>
    <w:p>
      <w:pPr>
        <w:spacing w:after="0" w:line="207"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Estimates are used in determining our allowance for current expected credit losses using historical loss rates for the previous twelve months as well as expectations about the future where we have been able to develop forecasts to supports our estimates. In addition, the allowance for current expected credit losses considers outstanding balances on a customer-specific, account-by-account basis. We assess collectability based upon a review of customer receivables from prior sales with collection issues where we no longer believe that the customer has the ability to pay for services previously provided. We also perform ongoing credit evaluations of our customers. If such an evaluation indicates that payment is no longer reasonably assured for services provided, any future services provided to that customer will result in the creation of a cash basis reserve until we receive consistent payments.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Impairment of Marketable Securities</w:t>
      </w:r>
    </w:p>
    <w:p>
      <w:pPr>
        <w:spacing w:after="0" w:line="246"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measure the fair value of our financial assets and liabilities at the end of each reporting period. Fair value is defined as the price that would be received to sell an asset or paid to transfer a liability (an exit price) in the principal or most advantageous market for the asset or liability in an orderly transaction between market participants on the measurement date. We have certain financial assets and liabilities recorded at fair value (principally cash equivalents and short- and long-term marketable securities) that have been classified as Level 1, 2 or 3 within the fair value hierarchy. Fair values determined by Level 1 inputs utilize quoted prices (unadjusted) in active markets for identical assets or liabilities that we can access at the reporting date. Fair values determined by Level 2 inputs utilize data points other than quoted prices included within Level 1 that are observable for the asset or liability, either directly or indirectly. Fair values determined by Level 3 inputs are based on unobservable data points for the asset or liability.</w:t>
      </w:r>
    </w:p>
    <w:p>
      <w:pPr>
        <w:spacing w:after="0" w:line="213"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Marketable securities, which consist primarily of securities available-for-sale, are evaluated for impairment when the fair value declines below the cost basis. We periodically evaluate whether the decline is due to credit losses by considering available evidence regarding these investments including, among other factors, the extent to which, the fair value is less than the cost basis; the financial health of, and business outlook for, the issuer, including industry and sector performance and operational and financing cash flow factors. Additionally, we consider our intent and ability to retain our investment in the security for a period of time sufficient to allow for an anticipated recovery in market value. Assessing the above factors involves inherent uncertainty. If a portion of the unrealized loss is due to credit losses or we do not have the intent or ability to retain our investment in the security, an impairment will be recorded in interest and marketable securities income, net. Impairments, if recorded, could be materially different from the actual market performance of marketable securities in our portfolio if, among other things, relevant information related to our investments was not publicly available or other factors not considered by us would have been relevant to the determination of impairment.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review our long-lived assets, such as property and equipment, operating lease right-of-use assets and acquired intangible assets, for impairment whenever events or changes in circumstances indicate that the carrying amount of the assets may not be recoverable. Events that would trigger an impairment review include a change in the use of the asset or forecasted negative cash flows related to the asset. When such events occur, we compare the carrying amount of the asset to the undiscounted expected future cash flows related to the asset. If this comparison indicates that impairment is present, the amount of the impairment is calculated as the difference between the carrying amount and the fair value of the asset. If a readily determinable market price does not exist, fair value is estimated using discounted expected cash flows attributable to the asset. The estimates required to apply this accounting policy include forecasted usage of the long-lived assets, the useful lives of these assets and expected future cash flows. Changes in these estimates could materially impact results from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Acquired Intangible Assets</w:t>
      </w:r>
    </w:p>
    <w:p>
      <w:pPr>
        <w:spacing w:after="0" w:line="24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7"/>
          <w:szCs w:val="17"/>
          <w:color w:val="auto"/>
        </w:rPr>
        <w:t>We test goodwill for impairment on an annual basis, as of December 31, or more frequently if events or changes in circumstances indicate that the asset might be impaired. We have concluded that we have one reporting unit and that our chief operating decision maker is our chief executive officer and the executive management team. We have assigned the entire balance of goodwill to our one reporting unit. The fair value of the reporting unit was based on our market capitalization as of each of December 31, 2024 and 2023, and it was substantially in excess of the carrying value of the reporting unit at each date.</w:t>
      </w:r>
    </w:p>
    <w:p>
      <w:pPr>
        <w:spacing w:after="0" w:line="167"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Acquired intangible assets consist of completed technologies, customer relationships, trademarks and trade names, non-compete agreements and acquired license rights. We engage third party valuation specialists to assist us with the initial measurement of the fair value of acquired intangible assets. Fair value and amortization period determinations may be based on, among other factors, estimates of future expected cash flows, royalty cost savings and appropriate discount rates used in calculating present values. The value of our acquired intangible assets could be different if we had used different assumption. Acquired intangible assets, other than goodwill, are amortized over their estimated useful lives based upon the estimated economic value derived from the related intangible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ind w:right="340" w:firstLine="177"/>
        <w:spacing w:after="0" w:line="255" w:lineRule="auto"/>
        <w:rPr>
          <w:sz w:val="20"/>
          <w:szCs w:val="20"/>
          <w:color w:val="auto"/>
        </w:rPr>
      </w:pPr>
      <w:r>
        <w:rPr>
          <w:rFonts w:ascii="Times New Roman" w:cs="Times New Roman" w:eastAsia="Times New Roman" w:hAnsi="Times New Roman"/>
          <w:sz w:val="18"/>
          <w:szCs w:val="18"/>
          <w:color w:val="auto"/>
        </w:rPr>
        <w:t>Our provision for income taxes is comprised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by using expected tax rates in effect in the years during which the differences are expected to reverse or the carryforwards are expected to be realized.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We currently have net deferred tax assets, comprised of net operating loss ("NOL") carryforwards, tax credit carryforwards and deductible temporary differences. Our management periodically weighs the positive and negative evidence to determine if it is more-likely-than-not that some or all of the deferred tax assets will be realized. In determining our net deferred tax assets and valuation allowances, annualized effective tax rates and cash paid for income taxes, management is required to make judgments and estimates about domestic and foreign profitability, the timing and extent of the utilization of NOL carryforwards, applicable tax rates, transfer pricing methodologies and tax planning strategies. Judgments and estimates related to our projections and assumptions are inherently uncertain; therefore, actual results could differ materially from our projections.</w:t>
      </w:r>
    </w:p>
    <w:p>
      <w:pPr>
        <w:spacing w:after="0" w:line="212" w:lineRule="exact"/>
        <w:rPr>
          <w:sz w:val="20"/>
          <w:szCs w:val="20"/>
          <w:color w:val="auto"/>
        </w:rPr>
      </w:pPr>
    </w:p>
    <w:p>
      <w:pPr>
        <w:jc w:val="both"/>
        <w:ind w:right="220" w:firstLine="318"/>
        <w:spacing w:after="0" w:line="255" w:lineRule="auto"/>
        <w:rPr>
          <w:sz w:val="20"/>
          <w:szCs w:val="20"/>
          <w:color w:val="auto"/>
        </w:rPr>
      </w:pPr>
      <w:r>
        <w:rPr>
          <w:rFonts w:ascii="Times New Roman" w:cs="Times New Roman" w:eastAsia="Times New Roman" w:hAnsi="Times New Roman"/>
          <w:sz w:val="18"/>
          <w:szCs w:val="18"/>
          <w:color w:val="auto"/>
        </w:rPr>
        <w:t>We have recorded certain tax reserves to address potential exposures involving our income tax positions. These potential tax liabilities result from the varying application of statutes, rules, regulations and interpretations by different taxing jurisdictions. Our estimate of the value of our tax reserves contains assumptions based on past experiences and judgments about the interpretation of statutes, rules and regulations by taxing jurisdictions. It is possible that the costs of the ultimate tax liability or benefit from these matters may be more or less than the amount that we estimated.</w:t>
      </w:r>
    </w:p>
    <w:p>
      <w:pPr>
        <w:spacing w:after="0" w:line="207"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Uncertainty in income taxes is recognized in our consolidated financial statements using a two-step process to determine the amount of tax benefit to be recognized. First, the tax position must be evaluated to determine the likelihood that it will be sustained upon external examination. If the tax position is deemed more-likely-than-not to be sustained based on technical merit, the tax position is then assessed to determine the amount of benefit to recognize in the financial statements. The amount of the benefit that may be recognized is the largest amount that we believe has a greater than 50% likelihood of being realized upon ultimate settlement.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6"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We issue stock awards as part of our compensation program which includes stock options, restricted stock, restricted stock units, deferred stock units and employee stock purchases related to our employee stock purchase plan. For equity classified awards, we measure the fair value of these awards at the grant date and recognize such fair value as expense over the vesting period. For liability classified awards, the fair value is determined each reporting period beginning at the grant date until final vesting. We have selected the Black-Scholes option pricing model to determine the fair value of stock option awards and the Monte Carlo simulation model to determine the fair value of market-based restricted stock unit awards. Determining the fair value of stock-based awards at the grant date requires judgment, including estimating the expected life of the stock awards and the volatility of the underlying common stock. Our assumptions may differ from those used in prior periods. Changes to the assumptions may have an impact on the fair value of stock awards, which could have an impact on our financial statements. Judgment is also required in estimating the number of stock awards that are expected to be forfeited. Should our actual forfeiture rates differ significantly from our estimates, our stock-based compensation expense and results of operations could be materially impacted. In addition, for awards that vest and become exercisable only upon achievement of specified performance conditions, we make judgments and estimates each quarter about the probability that such performance conditions will be met or achieved. Changes to the estimates we make from time to time may have an impact on our stock-based compensation expense and our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 Costs</w:t>
      </w:r>
    </w:p>
    <w:p>
      <w:pPr>
        <w:spacing w:after="0" w:line="246" w:lineRule="exact"/>
        <w:rPr>
          <w:sz w:val="20"/>
          <w:szCs w:val="20"/>
          <w:color w:val="auto"/>
        </w:rPr>
      </w:pPr>
    </w:p>
    <w:p>
      <w:pPr>
        <w:ind w:right="440" w:firstLine="318"/>
        <w:spacing w:after="0" w:line="250" w:lineRule="auto"/>
        <w:rPr>
          <w:sz w:val="20"/>
          <w:szCs w:val="20"/>
          <w:color w:val="auto"/>
        </w:rPr>
      </w:pPr>
      <w:r>
        <w:rPr>
          <w:rFonts w:ascii="Times New Roman" w:cs="Times New Roman" w:eastAsia="Times New Roman" w:hAnsi="Times New Roman"/>
          <w:sz w:val="18"/>
          <w:szCs w:val="18"/>
          <w:color w:val="auto"/>
        </w:rPr>
        <w:t>We capitalize salaries and related costs, including stock-based compensation, of employees and consultants who devote time to the development of internal-use software development projects, as well as interest expense related to our outstanding debt. Capitalization begins during the application development stage, once the preliminary project stage has been completed. If a project constitutes an enhancement to previously-developed software, we assess whether the enhancement creates additional functionality to the software, thus qualifying the work incurred for capitalization. Once the project is available for general release, capitalization ceases and we estimate the useful life of the asset and begin amortization. We periodically assess whether triggering events are present to review internal-use software for impairment. Changes in our estimates related to internal-use software would increase or decrease operating expenses or amortization recorded during the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Our portfolio of cash equivalents and short- and long-term investments is maintained in a variety of securities, that are detailed in Note 3 to the consolidated financial statements included elsewhere in this annual report on Form 10-K. The majority of our investments are classified as available-for-sale securities and carried at fair market value with cumulative unrealized gains or losses recorded as a component of accumulated other comprehensive loss within stockholders' equity. A sharp rise 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interest rates could have an adverse impact on the fair market value of certain securities in our portfolio. We do not currently hedge our interest rate exposure and do not enter into financial instruments for trading or speculative purposes. If market interest rates were to increase by 100 basis points, reflected uniformly across the yield curve regardless of the duration to maturity, from December 31, 2024 levels, the fair value of our available-for-sale portfolio would decline by approximately $6.8 million.</w:t>
      </w:r>
    </w:p>
    <w:p>
      <w:pPr>
        <w:spacing w:after="0" w:line="207" w:lineRule="exact"/>
        <w:rPr>
          <w:sz w:val="20"/>
          <w:szCs w:val="20"/>
          <w:color w:val="auto"/>
        </w:rPr>
      </w:pPr>
    </w:p>
    <w:p>
      <w:pPr>
        <w:ind w:right="320" w:firstLine="318"/>
        <w:spacing w:after="0" w:line="251" w:lineRule="auto"/>
        <w:rPr>
          <w:sz w:val="20"/>
          <w:szCs w:val="20"/>
          <w:color w:val="auto"/>
        </w:rPr>
      </w:pPr>
      <w:r>
        <w:rPr>
          <w:rFonts w:ascii="Times New Roman" w:cs="Times New Roman" w:eastAsia="Times New Roman" w:hAnsi="Times New Roman"/>
          <w:sz w:val="18"/>
          <w:szCs w:val="18"/>
          <w:color w:val="auto"/>
        </w:rPr>
        <w:t>As of December 31, 2024, we had $3,565.0 million in aggregate principal amount of convertible senior notes outstanding that are senior unsecured obligations with fixed annual interest rates. The terms of the notes are discussed more fully in Note 11 to our consolidated financial statements included elsewhere in this annual report on Form 10-K. Due to the fixed annual interest rate, these notes do not give rise to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notes at face value less an unamortized discount on our consolidated balance sheet, and we present the fair value for required disclosure purposes only.</w:t>
      </w:r>
    </w:p>
    <w:p>
      <w:pPr>
        <w:spacing w:after="0" w:line="212"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Our exposure to risk for changes in interest rates relates primarily to any borrowings under our 2022 Credit Agreement, which has a variable rate of interest. There were no outstanding borrowings under the 2022 Credit Agreement as of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46"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7"/>
          <w:szCs w:val="17"/>
          <w:color w:val="auto"/>
        </w:rPr>
        <w:t>Growth in our international operations will incrementally increase our exposure to foreign currency fluctuations as well as other risks typical of international operations that could impact our business, including, but not limited to, differing economic conditions, changes in political climate, differing tax structures and other regulations and restrictions. Due to the strengthening U.S. dollar, our revenue results have been negatively impacted. The strengthening U.S. dollar has the opposite effect on expenses that are denominated in foreign currencies, but only partially offsets the impact to our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Exposure</w:t>
      </w:r>
    </w:p>
    <w:p>
      <w:pPr>
        <w:spacing w:after="0" w:line="246"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Foreign exchange rate fluctuations may adversely impact our consolidated results of operations as exchange rate fluctuations on transactions denominated in currencies other than functional currencies result in gains and losses that are reflected in our consolidated statements of income. We enter into short-term foreign currency forward contracts to offset foreign exchange gains and losses generated by the re-measurement of certain assets and liabilities recorded in non-functional currencies. Changes in the fair value of these derivatives, as well as re-measurement gains and losses, are recognized in our consolidated statements of income within other expense, net. Foreign currency transaction gains and losses from these forward contracts were determined to be immaterial during the years ended December 31, 2024, 2023 and 2022. We do not enter into derivative financial instruments for trading or speculative purposes.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Translation Exposure</w:t>
      </w:r>
    </w:p>
    <w:p>
      <w:pPr>
        <w:spacing w:after="0" w:line="246" w:lineRule="exact"/>
        <w:rPr>
          <w:sz w:val="20"/>
          <w:szCs w:val="20"/>
          <w:color w:val="auto"/>
        </w:rPr>
      </w:pPr>
    </w:p>
    <w:p>
      <w:pPr>
        <w:ind w:right="340" w:firstLine="318"/>
        <w:spacing w:after="0" w:line="255" w:lineRule="auto"/>
        <w:rPr>
          <w:sz w:val="20"/>
          <w:szCs w:val="20"/>
          <w:color w:val="auto"/>
        </w:rPr>
      </w:pPr>
      <w:r>
        <w:rPr>
          <w:rFonts w:ascii="Times New Roman" w:cs="Times New Roman" w:eastAsia="Times New Roman" w:hAnsi="Times New Roman"/>
          <w:sz w:val="18"/>
          <w:szCs w:val="18"/>
          <w:color w:val="auto"/>
        </w:rPr>
        <w:t>To the extent the U.S. dollar weakens against foreign currencies, the translation of these foreign currency-denominated transactions will result in increased revenue and operating expenses. Conversely, our revenue and operating expenses will decrease when the U.S. dollar strengthens against foreign currencies. A hypothetical 10% strengthening or weakening in the value of the U.S. dollar relative to the foreign currencies in which our revenues and expenses are denominated would not result in a material impact to our consolidated financial statements.</w:t>
      </w:r>
    </w:p>
    <w:p>
      <w:pPr>
        <w:spacing w:after="0" w:line="207"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Foreign exchange rate fluctuations may also adversely impact our consolidated financial condition as the assets and liabilities of our international operations are translated into U.S. dollars in preparing our consolidated balance sheet. These gains or losses are recorded as a component of accumulated other comprehensive loss within stockholders' equity.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13"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limited to certain customers to which we make substantial sales. Our customer base consists of a large number of geographically dispersed customers diversified across numerous industries. We believe that our accounts receivable credit risk exposure is limited. As of December 31, 2024 and 2023, no customer had an accounts receivable balance of 10% or more of our accounts receivable. We believe that at December 31, 2024, the concentration of credit risk related to accounts receivable was insignificant.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Akamai Technologies,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Akamai Technologies, Inc. and its subsidiaries (the "Company") as of December 31, 2024 and 2023, and the related consolidated statements of income, of comprehensive income,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4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changed the manner in which it accounts for convertible instruments in 2022. </w:t>
      </w:r>
      <w:r>
        <w:rPr>
          <w:rFonts w:ascii="Times New Roman" w:cs="Times New Roman" w:eastAsia="Times New Roman" w:hAnsi="Times New Roman"/>
          <w:sz w:val="18"/>
          <w:szCs w:val="18"/>
          <w:b w:val="1"/>
          <w:bCs w:val="1"/>
          <w:i w:val="1"/>
          <w:iCs w:val="1"/>
          <w:color w:val="auto"/>
        </w:rPr>
        <w:t>Basis for Opinions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color w:val="auto"/>
        </w:rPr>
        <w:t>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As described in Notes 2 and 16 to the consolidated financial statements, the Company’s total revenue was $3.991 billion for the year ended December 31, 2024. The Company primarily derives revenue from the sale of services to customers executing contracts having terms of one year or longer. Services included in the Company’s contracts consist of security solutions, the delivery of content, applications and software over the internet, compute solutions and professional services. Revenue is recognized upon transfer of control of promised services in an amount that reflects the consideration the Company expects to receive in exchange for those services. Most security, delivery and compute services represent stand-ready obligations that are satisfied over time as the customer simultaneously receives and consumes the benefits provided by the Company. Accordingly, revenue for those services is recognized over time, generally ratably over the term of the arrangement due to consistent monthly usage commitments that expire each period. A small percentage of the Company's contracts are satisfied at a point in time, such as one-time professional services contracts, integration services and most license sales where the primary obligation is delivery of the license at the start of the term. In these cases, revenue is recognized at a point in time of delivery or satisfaction of the performance obligation.</w:t>
      </w:r>
    </w:p>
    <w:p>
      <w:pPr>
        <w:spacing w:after="0" w:line="22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a high degree of auditor effort involved in performing procedures and evaluating audit evidence related to the Company’s revenue recognition.</w:t>
      </w:r>
    </w:p>
    <w:p>
      <w:pPr>
        <w:spacing w:after="0" w:line="19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recording of revenue at the amount of consideration the Company expects to receive as the promised services are delivered to the customer. These procedures also included, among others, (i) evaluating and recalculating, on a sample basis, the revenue recognized by obtaining and inspecting source documents, such as executed contracts, invoices, and delivery documents; (ii) testing the delivery documents provided by management; and (iii) confirming a sample of outstanding customer invoice balances as of December 31, 2024, and for confirmations not returned, obtaining and inspecting source documents, such as executed contracts, invoices, delivery documents, and subsequent cash receipts.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Noname Gate Ltd. – Valuation of Completed Technologies</w:t>
      </w:r>
    </w:p>
    <w:p>
      <w:pPr>
        <w:spacing w:after="0" w:line="24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described in Note 8 to the consolidated financial statements, in June 2024, the Company completed the acquisition of Noname Gate Ltd. (“Noname Security”) for $452.3 million in cash. Of the acquired intangible assets, $132.3 million of completed technologies were recorded. Management applied the multi-period excess earnings method to estimate the fair value of the completed technologies. Management applied significant judgment in estimating the fair value of the acquired completed technologies, which involved significant estimates and assumptions with respect to forecasted revenue growth rates, forecasted operating margin rates, the technology obsolescence curve and discount rate.</w:t>
      </w:r>
    </w:p>
    <w:p>
      <w:pPr>
        <w:spacing w:after="0" w:line="21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completed technologies acquired in the acquisition of Noname Security is a critical audit matter are (i) the significant judgment by management when developing the fair value estimate of the completed technologies acquired; (ii) a high degree of auditor judgment, subjectivity, and effort in performing procedures and evaluating management’s significant assumptions related to</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forecasted revenue growth rates, forecasted operating margin rates, the technology obsolescence curve and discount rate; and (iii) the audit effort involved the use of professionals with specialized skill and knowledge.</w:t>
      </w:r>
    </w:p>
    <w:p>
      <w:pPr>
        <w:spacing w:after="0" w:line="1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completed technologies acquired. These procedures also included, among others (i) reading the purchase agreement; (ii) testing management’s process for developing the fair value estimate of the completed technologies acquired; (iii) evaluating the appropriateness of the multi-period excess earnings method used by management; (iv) testing the completeness and accuracy of the underlying data used in the multi-period excess earnings method; and (v) evaluating the reasonableness of the significant assumptions used by management related to forecasted revenue growth rates, forecasted operating margin rates, the technology obsolescence curve and discount rate. Evaluating management’s assumptions related to forecasted revenue growth rates and forecasted operating margin rates involved considering (i) the current and past performance of the Noname Security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method and (ii) the reasonableness of the technology obsolescence curve and discount rate assumptions.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1998.</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6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05"/>
        </w:trPr>
        <w:tc>
          <w:tcPr>
            <w:tcW w:w="804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489,468</w:t>
            </w:r>
          </w:p>
        </w:tc>
        <w:tc>
          <w:tcPr>
            <w:tcW w:w="0" w:type="dxa"/>
            <w:vAlign w:val="bottom"/>
          </w:tcPr>
          <w:p>
            <w:pPr>
              <w:spacing w:after="0"/>
              <w:rPr>
                <w:sz w:val="1"/>
                <w:szCs w:val="1"/>
                <w:color w:val="auto"/>
              </w:rPr>
            </w:pPr>
          </w:p>
        </w:tc>
      </w:tr>
      <w:tr>
        <w:trPr>
          <w:trHeight w:val="225"/>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374,971</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reserves of $3,522 and $3,469 at December 31, 2024 and 2023, respectively</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724,302</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216,114</w:t>
            </w:r>
          </w:p>
        </w:tc>
        <w:tc>
          <w:tcPr>
            <w:tcW w:w="0" w:type="dxa"/>
            <w:vAlign w:val="bottom"/>
          </w:tcPr>
          <w:p>
            <w:pPr>
              <w:spacing w:after="0"/>
              <w:rPr>
                <w:sz w:val="1"/>
                <w:szCs w:val="1"/>
                <w:color w:val="auto"/>
              </w:rPr>
            </w:pPr>
          </w:p>
        </w:tc>
      </w:tr>
      <w:tr>
        <w:trPr>
          <w:trHeight w:val="219"/>
        </w:trPr>
        <w:tc>
          <w:tcPr>
            <w:tcW w:w="8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1,804,855</w:t>
            </w:r>
          </w:p>
        </w:tc>
        <w:tc>
          <w:tcPr>
            <w:tcW w:w="0" w:type="dxa"/>
            <w:vAlign w:val="bottom"/>
          </w:tcPr>
          <w:p>
            <w:pPr>
              <w:spacing w:after="0"/>
              <w:rPr>
                <w:sz w:val="1"/>
                <w:szCs w:val="1"/>
                <w:color w:val="auto"/>
              </w:rPr>
            </w:pP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1,431,354</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1,825,944</w:t>
            </w:r>
          </w:p>
        </w:tc>
        <w:tc>
          <w:tcPr>
            <w:tcW w:w="0" w:type="dxa"/>
            <w:vAlign w:val="bottom"/>
          </w:tcPr>
          <w:p>
            <w:pPr>
              <w:spacing w:after="0"/>
              <w:rPr>
                <w:sz w:val="1"/>
                <w:szCs w:val="1"/>
                <w:color w:val="auto"/>
              </w:rPr>
            </w:pP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908,634</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536,143</w:t>
            </w:r>
          </w:p>
        </w:tc>
        <w:tc>
          <w:tcPr>
            <w:tcW w:w="0" w:type="dxa"/>
            <w:vAlign w:val="bottom"/>
          </w:tcPr>
          <w:p>
            <w:pPr>
              <w:spacing w:after="0"/>
              <w:rPr>
                <w:sz w:val="1"/>
                <w:szCs w:val="1"/>
                <w:color w:val="auto"/>
              </w:rPr>
            </w:pP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3,151,077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2,850,470</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418,297</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124,340</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10,368,785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9,900,037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0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130,447</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146,927</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352,181</w:t>
            </w:r>
          </w:p>
        </w:tc>
        <w:tc>
          <w:tcPr>
            <w:tcW w:w="0" w:type="dxa"/>
            <w:vAlign w:val="bottom"/>
          </w:tcPr>
          <w:p>
            <w:pPr>
              <w:spacing w:after="0"/>
              <w:rPr>
                <w:sz w:val="1"/>
                <w:szCs w:val="1"/>
                <w:color w:val="auto"/>
              </w:rPr>
            </w:pPr>
          </w:p>
        </w:tc>
      </w:tr>
      <w:tr>
        <w:trPr>
          <w:trHeight w:val="225"/>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107,544</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222,944</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0" w:type="dxa"/>
            <w:vAlign w:val="bottom"/>
          </w:tcPr>
          <w:p>
            <w:pPr>
              <w:spacing w:after="0"/>
              <w:rPr>
                <w:sz w:val="1"/>
                <w:szCs w:val="1"/>
                <w:color w:val="auto"/>
              </w:rPr>
            </w:pPr>
          </w:p>
        </w:tc>
      </w:tr>
      <w:tr>
        <w:trPr>
          <w:trHeight w:val="219"/>
        </w:trPr>
        <w:tc>
          <w:tcPr>
            <w:tcW w:w="8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2,091,323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836,038</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0" w:type="dxa"/>
            <w:vAlign w:val="bottom"/>
          </w:tcPr>
          <w:p>
            <w:pPr>
              <w:spacing w:after="0"/>
              <w:rPr>
                <w:sz w:val="1"/>
                <w:szCs w:val="1"/>
                <w:color w:val="auto"/>
              </w:rPr>
            </w:pP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3,538,229</w:t>
            </w:r>
          </w:p>
        </w:tc>
        <w:tc>
          <w:tcPr>
            <w:tcW w:w="0" w:type="dxa"/>
            <w:vAlign w:val="bottom"/>
          </w:tcPr>
          <w:p>
            <w:pPr>
              <w:spacing w:after="0"/>
              <w:rPr>
                <w:sz w:val="1"/>
                <w:szCs w:val="1"/>
                <w:color w:val="auto"/>
              </w:rPr>
            </w:pP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774,806</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106,181</w:t>
            </w:r>
          </w:p>
        </w:tc>
        <w:tc>
          <w:tcPr>
            <w:tcW w:w="0" w:type="dxa"/>
            <w:vAlign w:val="bottom"/>
          </w:tcPr>
          <w:p>
            <w:pPr>
              <w:spacing w:after="0"/>
              <w:rPr>
                <w:sz w:val="1"/>
                <w:szCs w:val="1"/>
                <w:color w:val="auto"/>
              </w:rPr>
            </w:pPr>
          </w:p>
        </w:tc>
      </w:tr>
      <w:tr>
        <w:trPr>
          <w:trHeight w:val="218"/>
        </w:trPr>
        <w:tc>
          <w:tcPr>
            <w:tcW w:w="8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5,490,428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5,302,882</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040" w:type="dxa"/>
            <w:vAlign w:val="bottom"/>
            <w:gridSpan w:val="2"/>
            <w:shd w:val="clear" w:color="auto" w:fill="CCEEFF"/>
          </w:tcPr>
          <w:p>
            <w:pPr>
              <w:ind w:left="340"/>
              <w:spacing w:after="0" w:line="172" w:lineRule="exact"/>
              <w:rPr>
                <w:sz w:val="20"/>
                <w:szCs w:val="20"/>
                <w:color w:val="auto"/>
              </w:rPr>
            </w:pPr>
            <w:r>
              <w:rPr>
                <w:rFonts w:ascii="Times New Roman" w:cs="Times New Roman" w:eastAsia="Times New Roman" w:hAnsi="Times New Roman"/>
                <w:sz w:val="18"/>
                <w:szCs w:val="18"/>
                <w:color w:val="auto"/>
                <w:w w:val="99"/>
              </w:rPr>
              <w:t>Preferred stock, $0.01 par value; 5,000,000 shares authorized; 700,000 shares designated as Series A Junior</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Participating Preferred Stock; no shares issued or outstanding</w:t>
            </w: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8040" w:type="dxa"/>
            <w:vAlign w:val="bottom"/>
            <w:gridSpan w:val="2"/>
          </w:tcPr>
          <w:p>
            <w:pPr>
              <w:ind w:left="340"/>
              <w:spacing w:after="0" w:line="172" w:lineRule="exact"/>
              <w:rPr>
                <w:sz w:val="20"/>
                <w:szCs w:val="20"/>
                <w:color w:val="auto"/>
              </w:rPr>
            </w:pPr>
            <w:r>
              <w:rPr>
                <w:rFonts w:ascii="Times New Roman" w:cs="Times New Roman" w:eastAsia="Times New Roman" w:hAnsi="Times New Roman"/>
                <w:sz w:val="18"/>
                <w:szCs w:val="18"/>
                <w:color w:val="auto"/>
                <w:w w:val="98"/>
              </w:rPr>
              <w:t>Common stock, $0.01 par value; 700,000,000 shares authorized; 155,647,988 shares issued and 150,025,096</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4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shares outstanding at December 31, 2024, and 151,232,908 shares issued and outstanding at December 31,</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6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2,618,384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2,222,993</w:t>
            </w:r>
          </w:p>
        </w:tc>
        <w:tc>
          <w:tcPr>
            <w:tcW w:w="0" w:type="dxa"/>
            <w:vAlign w:val="bottom"/>
          </w:tcPr>
          <w:p>
            <w:pPr>
              <w:spacing w:after="0"/>
              <w:rPr>
                <w:sz w:val="1"/>
                <w:szCs w:val="1"/>
                <w:color w:val="auto"/>
              </w:rPr>
            </w:pPr>
          </w:p>
        </w:tc>
      </w:tr>
      <w:tr>
        <w:trPr>
          <w:trHeight w:val="225"/>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(95,330)</w:t>
            </w:r>
          </w:p>
        </w:tc>
        <w:tc>
          <w:tcPr>
            <w:tcW w:w="0" w:type="dxa"/>
            <w:vAlign w:val="bottom"/>
          </w:tcPr>
          <w:p>
            <w:pPr>
              <w:spacing w:after="0"/>
              <w:rPr>
                <w:sz w:val="1"/>
                <w:szCs w:val="1"/>
                <w:color w:val="auto"/>
              </w:rPr>
            </w:pPr>
          </w:p>
        </w:tc>
      </w:tr>
      <w:tr>
        <w:trPr>
          <w:trHeight w:val="225"/>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5,622,892 shares at December 31, 2024, and no shares at December 31, 2023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2,972,898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2,467,980</w:t>
            </w:r>
          </w:p>
        </w:tc>
        <w:tc>
          <w:tcPr>
            <w:tcW w:w="0" w:type="dxa"/>
            <w:vAlign w:val="bottom"/>
          </w:tcPr>
          <w:p>
            <w:pPr>
              <w:spacing w:after="0"/>
              <w:rPr>
                <w:sz w:val="1"/>
                <w:szCs w:val="1"/>
                <w:color w:val="auto"/>
              </w:rPr>
            </w:pPr>
          </w:p>
        </w:tc>
      </w:tr>
      <w:tr>
        <w:trPr>
          <w:trHeight w:val="219"/>
        </w:trPr>
        <w:tc>
          <w:tcPr>
            <w:tcW w:w="8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4,878,357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4,597,155</w:t>
            </w:r>
          </w:p>
        </w:tc>
        <w:tc>
          <w:tcPr>
            <w:tcW w:w="0" w:type="dxa"/>
            <w:vAlign w:val="bottom"/>
          </w:tcPr>
          <w:p>
            <w:pPr>
              <w:spacing w:after="0"/>
              <w:rPr>
                <w:sz w:val="1"/>
                <w:szCs w:val="1"/>
                <w:color w:val="auto"/>
              </w:rPr>
            </w:pPr>
          </w:p>
        </w:tc>
      </w:tr>
      <w:tr>
        <w:trPr>
          <w:trHeight w:val="218"/>
        </w:trPr>
        <w:tc>
          <w:tcPr>
            <w:tcW w:w="8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10,368,785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9,900,037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3,811,920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3,616,654</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8"/>
                <w:szCs w:val="18"/>
                <w:color w:val="auto"/>
              </w:rPr>
              <w:t>Cost of revenue (exclusive of amortization of acquired intangible assets shown</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below)</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1,620,793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1,511,063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1,383,819</w:t>
            </w:r>
          </w:p>
        </w:tc>
        <w:tc>
          <w:tcPr>
            <w:tcW w:w="0" w:type="dxa"/>
            <w:vAlign w:val="bottom"/>
          </w:tcPr>
          <w:p>
            <w:pPr>
              <w:spacing w:after="0"/>
              <w:rPr>
                <w:sz w:val="1"/>
                <w:szCs w:val="1"/>
                <w:color w:val="auto"/>
              </w:rPr>
            </w:pP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391,434</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502,409</w:t>
            </w:r>
          </w:p>
        </w:tc>
        <w:tc>
          <w:tcPr>
            <w:tcW w:w="0" w:type="dxa"/>
            <w:vAlign w:val="bottom"/>
          </w:tcPr>
          <w:p>
            <w:pPr>
              <w:spacing w:after="0"/>
              <w:rPr>
                <w:sz w:val="1"/>
                <w:szCs w:val="1"/>
                <w:color w:val="auto"/>
              </w:rPr>
            </w:pP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584,206</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64,983</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Restructuring charge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3,174,582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2,940,380</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676,274</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and marketable securities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0" w:type="dxa"/>
            <w:vAlign w:val="bottom"/>
          </w:tcPr>
          <w:p>
            <w:pPr>
              <w:spacing w:after="0"/>
              <w:rPr>
                <w:sz w:val="1"/>
                <w:szCs w:val="1"/>
                <w:color w:val="auto"/>
              </w:rPr>
            </w:pPr>
          </w:p>
        </w:tc>
      </w:tr>
      <w:tr>
        <w:trPr>
          <w:trHeight w:val="218"/>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658,003</w:t>
            </w:r>
          </w:p>
        </w:tc>
        <w:tc>
          <w:tcPr>
            <w:tcW w:w="0" w:type="dxa"/>
            <w:vAlign w:val="bottom"/>
          </w:tcPr>
          <w:p>
            <w:pPr>
              <w:spacing w:after="0"/>
              <w:rPr>
                <w:sz w:val="1"/>
                <w:szCs w:val="1"/>
                <w:color w:val="auto"/>
              </w:rPr>
            </w:pPr>
          </w:p>
        </w:tc>
      </w:tr>
      <w:tr>
        <w:trPr>
          <w:trHeight w:val="21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(126,696)</w:t>
            </w:r>
          </w:p>
        </w:tc>
        <w:tc>
          <w:tcPr>
            <w:tcW w:w="0" w:type="dxa"/>
            <w:vAlign w:val="bottom"/>
          </w:tcPr>
          <w:p>
            <w:pPr>
              <w:spacing w:after="0"/>
              <w:rPr>
                <w:sz w:val="1"/>
                <w:szCs w:val="1"/>
                <w:color w:val="auto"/>
              </w:rPr>
            </w:pP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243"/>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523,672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159,089</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160,467</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1040" w:type="dxa"/>
            <w:vAlign w:val="bottom"/>
            <w:tcBorders>
              <w:bottom w:val="single" w:sz="8" w:color="auto"/>
            </w:tcBorders>
          </w:tcPr>
          <w:p>
            <w:pPr>
              <w:spacing w:after="0"/>
              <w:rPr>
                <w:sz w:val="20"/>
                <w:szCs w:val="20"/>
                <w:color w:val="auto"/>
              </w:rPr>
            </w:pPr>
          </w:p>
        </w:tc>
      </w:tr>
      <w:tr>
        <w:trPr>
          <w:trHeight w:val="218"/>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523,672</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(44,665)</w:t>
            </w:r>
          </w:p>
        </w:tc>
      </w:tr>
      <w:tr>
        <w:trPr>
          <w:trHeight w:val="172"/>
        </w:trPr>
        <w:tc>
          <w:tcPr>
            <w:tcW w:w="6400" w:type="dxa"/>
            <w:vAlign w:val="bottom"/>
          </w:tcPr>
          <w:p>
            <w:pPr>
              <w:ind w:left="340"/>
              <w:spacing w:after="0" w:line="172" w:lineRule="exact"/>
              <w:rPr>
                <w:sz w:val="20"/>
                <w:szCs w:val="20"/>
                <w:color w:val="auto"/>
              </w:rPr>
            </w:pPr>
            <w:r>
              <w:rPr>
                <w:rFonts w:ascii="Times New Roman" w:cs="Times New Roman" w:eastAsia="Times New Roman" w:hAnsi="Times New Roman"/>
                <w:sz w:val="18"/>
                <w:szCs w:val="18"/>
                <w:color w:val="auto"/>
                <w:w w:val="99"/>
              </w:rPr>
              <w:t>Change in unrealized (loss) gain on investments, net of income tax benefit (expense)</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640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of $515, $(8,562) and $6,589 for the years ended December 31, 2024, 2023 and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6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2022, respectively</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7"/>
              </w:rPr>
              <w:t>(26,562)</w:t>
            </w:r>
          </w:p>
        </w:tc>
      </w:tr>
      <w:tr>
        <w:trPr>
          <w:trHeight w:val="219"/>
        </w:trPr>
        <w:tc>
          <w:tcPr>
            <w:tcW w:w="6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(71,227)</w:t>
            </w: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452,445</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9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27343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205"/>
        </w:trPr>
        <w:tc>
          <w:tcPr>
            <w:tcW w:w="69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523,672</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6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592,754</w:t>
            </w:r>
          </w:p>
        </w:tc>
      </w:tr>
      <w:tr>
        <w:trPr>
          <w:trHeight w:val="225"/>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217,185</w:t>
            </w:r>
          </w:p>
        </w:tc>
      </w:tr>
      <w:tr>
        <w:trPr>
          <w:trHeight w:val="225"/>
        </w:trPr>
        <w:tc>
          <w:tcPr>
            <w:tcW w:w="6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(104,971)</w:t>
            </w:r>
          </w:p>
        </w:tc>
      </w:tr>
      <w:tr>
        <w:trPr>
          <w:trHeight w:val="225"/>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25"/>
        </w:trPr>
        <w:tc>
          <w:tcPr>
            <w:tcW w:w="6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(gain) on investments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w:t>
            </w:r>
          </w:p>
        </w:tc>
      </w:tr>
      <w:tr>
        <w:trPr>
          <w:trHeight w:val="225"/>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non-cash reconciling items,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31,063</w:t>
            </w:r>
          </w:p>
        </w:tc>
      </w:tr>
      <w:tr>
        <w:trPr>
          <w:trHeight w:val="225"/>
        </w:trPr>
        <w:tc>
          <w:tcPr>
            <w:tcW w:w="6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(21,214)</w:t>
            </w:r>
          </w:p>
        </w:tc>
      </w:tr>
      <w:tr>
        <w:trPr>
          <w:trHeight w:val="225"/>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r>
      <w:tr>
        <w:trPr>
          <w:trHeight w:val="225"/>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(26,499)</w:t>
            </w:r>
          </w:p>
        </w:tc>
      </w:tr>
      <w:tr>
        <w:trPr>
          <w:trHeight w:val="225"/>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r>
      <w:tr>
        <w:trPr>
          <w:trHeight w:val="225"/>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r>
      <w:tr>
        <w:trPr>
          <w:trHeight w:val="225"/>
        </w:trPr>
        <w:tc>
          <w:tcPr>
            <w:tcW w:w="69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51,126</w:t>
            </w:r>
          </w:p>
        </w:tc>
      </w:tr>
      <w:tr>
        <w:trPr>
          <w:trHeight w:val="218"/>
        </w:trPr>
        <w:tc>
          <w:tcPr>
            <w:tcW w:w="6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1,274,676</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business acquisitions, net of cash acquired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(872,091)</w:t>
            </w: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asset acquisitions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(241,266)</w:t>
            </w: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 of internal-use software development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(217,036)</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short- and long-term marketable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w:t>
            </w: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of short- and long-term marketable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575,522</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maturities and redemptions of short- and long-term marketable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156,658</w:t>
            </w:r>
          </w:p>
        </w:tc>
      </w:tr>
      <w:tr>
        <w:trPr>
          <w:trHeight w:val="225"/>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19"/>
        </w:trPr>
        <w:tc>
          <w:tcPr>
            <w:tcW w:w="6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(622,310)</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9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2734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205"/>
        </w:trPr>
        <w:tc>
          <w:tcPr>
            <w:tcW w:w="69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the issuance of convertible senior notes, net of issuance costs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issuance of warrants related to convertible senior notes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note hedges related to convertible senior notes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related to the issuance of common stock under stock plans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56,462</w:t>
            </w: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stock awards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(82,236)</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(608,010)</w:t>
            </w:r>
          </w:p>
        </w:tc>
      </w:tr>
      <w:tr>
        <w:trPr>
          <w:trHeight w:val="225"/>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9"/>
        </w:trPr>
        <w:tc>
          <w:tcPr>
            <w:tcW w:w="6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(634,177)</w:t>
            </w:r>
          </w:p>
        </w:tc>
      </w:tr>
      <w:tr>
        <w:trPr>
          <w:trHeight w:val="225"/>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(12,918)</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25"/>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537,751</w:t>
            </w: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543,022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72"/>
        </w:trPr>
        <w:tc>
          <w:tcPr>
            <w:tcW w:w="694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Cash paid for income taxes, net of refunds received of $5,888, $11,006 and $15,458 for the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8"/>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years ended December 31, 2024, 2023 and 2022, respectively</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136,322</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134,478</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183,900</w:t>
            </w: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224,898</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202,409</w:t>
            </w:r>
          </w:p>
        </w:tc>
      </w:tr>
      <w:tr>
        <w:trPr>
          <w:trHeight w:val="172"/>
        </w:trPr>
        <w:tc>
          <w:tcPr>
            <w:tcW w:w="694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w w:val="99"/>
              </w:rPr>
              <w:t>Purchases of property and equipment and capitalization of internal-use software development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8"/>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costs included in accounts payable and accrued expenses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r>
      <w:tr>
        <w:trPr>
          <w:trHeight w:val="225"/>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 of 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w:t>
            </w:r>
          </w:p>
        </w:tc>
      </w:tr>
      <w:tr>
        <w:trPr>
          <w:trHeight w:val="252"/>
        </w:trPr>
        <w:tc>
          <w:tcPr>
            <w:tcW w:w="6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542,337</w:t>
            </w:r>
          </w:p>
        </w:tc>
      </w:tr>
      <w:tr>
        <w:trPr>
          <w:trHeight w:val="225"/>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44"/>
        </w:trPr>
        <w:tc>
          <w:tcPr>
            <w:tcW w:w="6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543,022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8"/>
              </w:rPr>
              <w:t>Additional</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6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72" w:lineRule="exact"/>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8"/>
                <w:szCs w:val="18"/>
                <w:color w:val="auto"/>
                <w:w w:val="99"/>
              </w:rPr>
              <w:t>Paid-in</w:t>
            </w:r>
          </w:p>
        </w:tc>
        <w:tc>
          <w:tcPr>
            <w:tcW w:w="160" w:type="dxa"/>
            <w:vAlign w:val="bottom"/>
          </w:tcPr>
          <w:p>
            <w:pPr>
              <w:spacing w:after="0"/>
              <w:rPr>
                <w:sz w:val="13"/>
                <w:szCs w:val="13"/>
                <w:color w:val="auto"/>
              </w:rPr>
            </w:pPr>
          </w:p>
        </w:tc>
        <w:tc>
          <w:tcPr>
            <w:tcW w:w="10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8"/>
                <w:szCs w:val="18"/>
                <w:color w:val="auto"/>
                <w:w w:val="96"/>
              </w:rPr>
              <w:t>Treasury</w:t>
            </w:r>
          </w:p>
        </w:tc>
        <w:tc>
          <w:tcPr>
            <w:tcW w:w="124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8"/>
                <w:szCs w:val="18"/>
                <w:color w:val="auto"/>
                <w:w w:val="99"/>
              </w:rPr>
              <w:t>Comprehensive</w:t>
            </w:r>
          </w:p>
        </w:tc>
        <w:tc>
          <w:tcPr>
            <w:tcW w:w="160" w:type="dxa"/>
            <w:vAlign w:val="bottom"/>
          </w:tcPr>
          <w:p>
            <w:pPr>
              <w:spacing w:after="0"/>
              <w:rPr>
                <w:sz w:val="13"/>
                <w:szCs w:val="13"/>
                <w:color w:val="auto"/>
              </w:rPr>
            </w:pPr>
          </w:p>
        </w:tc>
        <w:tc>
          <w:tcPr>
            <w:tcW w:w="100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8"/>
                <w:szCs w:val="18"/>
                <w:color w:val="auto"/>
              </w:rPr>
              <w:t>Retained</w:t>
            </w:r>
          </w:p>
        </w:tc>
        <w:tc>
          <w:tcPr>
            <w:tcW w:w="11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8"/>
                <w:szCs w:val="18"/>
                <w:color w:val="auto"/>
                <w:w w:val="96"/>
              </w:rPr>
              <w:t>Stockholders'</w:t>
            </w:r>
          </w:p>
        </w:tc>
        <w:tc>
          <w:tcPr>
            <w:tcW w:w="0" w:type="dxa"/>
            <w:vAlign w:val="bottom"/>
          </w:tcPr>
          <w:p>
            <w:pPr>
              <w:spacing w:after="0"/>
              <w:rPr>
                <w:sz w:val="1"/>
                <w:szCs w:val="1"/>
                <w:color w:val="auto"/>
              </w:rPr>
            </w:pPr>
          </w:p>
        </w:tc>
      </w:tr>
      <w:tr>
        <w:trPr>
          <w:trHeight w:val="23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3"/>
              </w:rPr>
              <w:t>Loss</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Pr>
          <w:p>
            <w:pPr>
              <w:spacing w:after="0"/>
              <w:rPr>
                <w:sz w:val="20"/>
                <w:szCs w:val="20"/>
                <w:color w:val="auto"/>
              </w:rPr>
            </w:pPr>
          </w:p>
        </w:tc>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5"/>
              </w:rPr>
              <w:t>Equity</w:t>
            </w:r>
          </w:p>
        </w:tc>
        <w:tc>
          <w:tcPr>
            <w:tcW w:w="0" w:type="dxa"/>
            <w:vAlign w:val="bottom"/>
          </w:tcPr>
          <w:p>
            <w:pPr>
              <w:spacing w:after="0"/>
              <w:rPr>
                <w:sz w:val="1"/>
                <w:szCs w:val="1"/>
                <w:color w:val="auto"/>
              </w:rPr>
            </w:pPr>
          </w:p>
        </w:tc>
      </w:tr>
      <w:tr>
        <w:trPr>
          <w:trHeight w:val="218"/>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160,512,111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3,340,822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1,256,692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4,530,014</w:t>
            </w:r>
          </w:p>
        </w:tc>
        <w:tc>
          <w:tcPr>
            <w:tcW w:w="0" w:type="dxa"/>
            <w:vAlign w:val="bottom"/>
          </w:tcPr>
          <w:p>
            <w:pPr>
              <w:spacing w:after="0"/>
              <w:rPr>
                <w:sz w:val="1"/>
                <w:szCs w:val="1"/>
                <w:color w:val="auto"/>
              </w:rPr>
            </w:pPr>
          </w:p>
        </w:tc>
      </w:tr>
      <w:tr>
        <w:trPr>
          <w:trHeight w:val="172"/>
        </w:trPr>
        <w:tc>
          <w:tcPr>
            <w:tcW w:w="3080" w:type="dxa"/>
            <w:vAlign w:val="bottom"/>
            <w:gridSpan w:val="2"/>
          </w:tcPr>
          <w:p>
            <w:pPr>
              <w:ind w:left="220"/>
              <w:spacing w:after="0" w:line="172" w:lineRule="exact"/>
              <w:rPr>
                <w:sz w:val="20"/>
                <w:szCs w:val="20"/>
                <w:color w:val="auto"/>
              </w:rPr>
            </w:pPr>
            <w:r>
              <w:rPr>
                <w:rFonts w:ascii="Times New Roman" w:cs="Times New Roman" w:eastAsia="Times New Roman" w:hAnsi="Times New Roman"/>
                <w:sz w:val="18"/>
                <w:szCs w:val="18"/>
                <w:color w:val="auto"/>
              </w:rPr>
              <w:t>Cumulative-effect adjustment from</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8"/>
                <w:szCs w:val="18"/>
                <w:color w:val="auto"/>
              </w:rPr>
              <w:t>adoption of new accounting</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pronouncement</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(235,427)</w:t>
            </w:r>
          </w:p>
        </w:tc>
        <w:tc>
          <w:tcPr>
            <w:tcW w:w="0" w:type="dxa"/>
            <w:vAlign w:val="bottom"/>
          </w:tcPr>
          <w:p>
            <w:pPr>
              <w:spacing w:after="0"/>
              <w:rPr>
                <w:sz w:val="1"/>
                <w:szCs w:val="1"/>
                <w:color w:val="auto"/>
              </w:rPr>
            </w:pPr>
          </w:p>
        </w:tc>
      </w:tr>
      <w:tr>
        <w:trPr>
          <w:trHeight w:val="172"/>
        </w:trPr>
        <w:tc>
          <w:tcPr>
            <w:tcW w:w="3080" w:type="dxa"/>
            <w:vAlign w:val="bottom"/>
            <w:gridSpan w:val="2"/>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Issuance of common stock upon the</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9"/>
              </w:rPr>
              <w:t>exercise of stock options and vesting of</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80" w:type="dxa"/>
            <w:vAlign w:val="bottom"/>
            <w:gridSpan w:val="2"/>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restricted and deferred stock units, net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(82,277)</w:t>
            </w:r>
          </w:p>
        </w:tc>
        <w:tc>
          <w:tcPr>
            <w:tcW w:w="0" w:type="dxa"/>
            <w:vAlign w:val="bottom"/>
          </w:tcPr>
          <w:p>
            <w:pPr>
              <w:spacing w:after="0"/>
              <w:rPr>
                <w:sz w:val="1"/>
                <w:szCs w:val="1"/>
                <w:color w:val="auto"/>
              </w:rPr>
            </w:pPr>
          </w:p>
        </w:tc>
      </w:tr>
      <w:tr>
        <w:trPr>
          <w:trHeight w:val="225"/>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shares withheld for employee taxes</w:t>
            </w: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80" w:type="dxa"/>
            <w:vAlign w:val="bottom"/>
            <w:gridSpan w:val="2"/>
          </w:tcPr>
          <w:p>
            <w:pPr>
              <w:ind w:left="220"/>
              <w:spacing w:after="0" w:line="172"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56,570</w:t>
            </w:r>
          </w:p>
        </w:tc>
        <w:tc>
          <w:tcPr>
            <w:tcW w:w="0" w:type="dxa"/>
            <w:vAlign w:val="bottom"/>
          </w:tcPr>
          <w:p>
            <w:pPr>
              <w:spacing w:after="0"/>
              <w:rPr>
                <w:sz w:val="1"/>
                <w:szCs w:val="1"/>
                <w:color w:val="auto"/>
              </w:rPr>
            </w:pPr>
          </w:p>
        </w:tc>
      </w:tr>
      <w:tr>
        <w:trPr>
          <w:trHeight w:val="225"/>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246,872</w:t>
            </w:r>
          </w:p>
        </w:tc>
        <w:tc>
          <w:tcPr>
            <w:tcW w:w="0" w:type="dxa"/>
            <w:vAlign w:val="bottom"/>
          </w:tcPr>
          <w:p>
            <w:pPr>
              <w:spacing w:after="0"/>
              <w:rPr>
                <w:sz w:val="1"/>
                <w:szCs w:val="1"/>
                <w:color w:val="auto"/>
              </w:rPr>
            </w:pPr>
          </w:p>
        </w:tc>
      </w:tr>
      <w:tr>
        <w:trPr>
          <w:trHeight w:val="225"/>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(6,402,650)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(608,010)</w:t>
            </w:r>
          </w:p>
        </w:tc>
        <w:tc>
          <w:tcPr>
            <w:tcW w:w="0" w:type="dxa"/>
            <w:vAlign w:val="bottom"/>
          </w:tcPr>
          <w:p>
            <w:pPr>
              <w:spacing w:after="0"/>
              <w:rPr>
                <w:sz w:val="1"/>
                <w:szCs w:val="1"/>
                <w:color w:val="auto"/>
              </w:rPr>
            </w:pPr>
          </w:p>
        </w:tc>
      </w:tr>
      <w:tr>
        <w:trPr>
          <w:trHeight w:val="225"/>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retirement</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523,672</w:t>
            </w:r>
          </w:p>
        </w:tc>
        <w:tc>
          <w:tcPr>
            <w:tcW w:w="0" w:type="dxa"/>
            <w:vAlign w:val="bottom"/>
          </w:tcPr>
          <w:p>
            <w:pPr>
              <w:spacing w:after="0"/>
              <w:rPr>
                <w:sz w:val="1"/>
                <w:szCs w:val="1"/>
                <w:color w:val="auto"/>
              </w:rPr>
            </w:pPr>
          </w:p>
        </w:tc>
      </w:tr>
      <w:tr>
        <w:trPr>
          <w:trHeight w:val="225"/>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Foreign currency translation adjustment</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0" w:type="dxa"/>
            <w:vAlign w:val="bottom"/>
          </w:tcPr>
          <w:p>
            <w:pPr>
              <w:spacing w:after="0"/>
              <w:rPr>
                <w:sz w:val="1"/>
                <w:szCs w:val="1"/>
                <w:color w:val="auto"/>
              </w:rPr>
            </w:pPr>
          </w:p>
        </w:tc>
      </w:tr>
      <w:tr>
        <w:trPr>
          <w:trHeight w:val="172"/>
        </w:trPr>
        <w:tc>
          <w:tcPr>
            <w:tcW w:w="3080" w:type="dxa"/>
            <w:vAlign w:val="bottom"/>
            <w:gridSpan w:val="2"/>
          </w:tcPr>
          <w:p>
            <w:pPr>
              <w:ind w:left="220"/>
              <w:spacing w:after="0" w:line="172" w:lineRule="exact"/>
              <w:rPr>
                <w:sz w:val="20"/>
                <w:szCs w:val="20"/>
                <w:color w:val="auto"/>
              </w:rPr>
            </w:pPr>
            <w:r>
              <w:rPr>
                <w:rFonts w:ascii="Times New Roman" w:cs="Times New Roman" w:eastAsia="Times New Roman" w:hAnsi="Times New Roman"/>
                <w:sz w:val="18"/>
                <w:szCs w:val="18"/>
                <w:color w:val="auto"/>
              </w:rPr>
              <w:t>Change in unrealized loss on</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investments, net of tax</w:t>
            </w: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0" w:type="dxa"/>
            <w:vAlign w:val="bottom"/>
          </w:tcPr>
          <w:p>
            <w:pPr>
              <w:spacing w:after="0"/>
              <w:rPr>
                <w:sz w:val="1"/>
                <w:szCs w:val="1"/>
                <w:color w:val="auto"/>
              </w:rPr>
            </w:pPr>
          </w:p>
        </w:tc>
      </w:tr>
      <w:tr>
        <w:trPr>
          <w:trHeight w:val="218"/>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156,494,816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2,578,603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4,360,187</w:t>
            </w:r>
          </w:p>
        </w:tc>
        <w:tc>
          <w:tcPr>
            <w:tcW w:w="0" w:type="dxa"/>
            <w:vAlign w:val="bottom"/>
          </w:tcPr>
          <w:p>
            <w:pPr>
              <w:spacing w:after="0"/>
              <w:rPr>
                <w:sz w:val="1"/>
                <w:szCs w:val="1"/>
                <w:color w:val="auto"/>
              </w:rPr>
            </w:pPr>
          </w:p>
        </w:tc>
      </w:tr>
      <w:tr>
        <w:trPr>
          <w:trHeight w:val="783"/>
        </w:trPr>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Accumulated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6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8"/>
                <w:szCs w:val="18"/>
                <w:color w:val="auto"/>
                <w:w w:val="99"/>
              </w:rPr>
              <w:t>Paid-in</w:t>
            </w:r>
          </w:p>
        </w:tc>
        <w:tc>
          <w:tcPr>
            <w:tcW w:w="180" w:type="dxa"/>
            <w:vAlign w:val="bottom"/>
          </w:tcPr>
          <w:p>
            <w:pPr>
              <w:spacing w:after="0"/>
              <w:rPr>
                <w:sz w:val="13"/>
                <w:szCs w:val="13"/>
                <w:color w:val="auto"/>
              </w:rPr>
            </w:pPr>
          </w:p>
        </w:tc>
        <w:tc>
          <w:tcPr>
            <w:tcW w:w="10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8"/>
                <w:szCs w:val="18"/>
                <w:color w:val="auto"/>
                <w:w w:val="96"/>
              </w:rPr>
              <w:t>Treasury</w:t>
            </w:r>
          </w:p>
        </w:tc>
        <w:tc>
          <w:tcPr>
            <w:tcW w:w="122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8"/>
                <w:szCs w:val="18"/>
                <w:color w:val="auto"/>
                <w:w w:val="97"/>
              </w:rPr>
              <w:t>Comprehensive</w:t>
            </w:r>
          </w:p>
        </w:tc>
        <w:tc>
          <w:tcPr>
            <w:tcW w:w="180" w:type="dxa"/>
            <w:vAlign w:val="bottom"/>
          </w:tcPr>
          <w:p>
            <w:pPr>
              <w:spacing w:after="0"/>
              <w:rPr>
                <w:sz w:val="13"/>
                <w:szCs w:val="13"/>
                <w:color w:val="auto"/>
              </w:rPr>
            </w:pPr>
          </w:p>
        </w:tc>
        <w:tc>
          <w:tcPr>
            <w:tcW w:w="100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8"/>
                <w:szCs w:val="18"/>
                <w:color w:val="auto"/>
              </w:rPr>
              <w:t>Retained</w:t>
            </w:r>
          </w:p>
        </w:tc>
        <w:tc>
          <w:tcPr>
            <w:tcW w:w="11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8"/>
                <w:szCs w:val="18"/>
                <w:color w:val="auto"/>
                <w:w w:val="96"/>
              </w:rPr>
              <w:t>Stockholders'</w:t>
            </w:r>
          </w:p>
        </w:tc>
        <w:tc>
          <w:tcPr>
            <w:tcW w:w="0" w:type="dxa"/>
            <w:vAlign w:val="bottom"/>
          </w:tcPr>
          <w:p>
            <w:pPr>
              <w:spacing w:after="0"/>
              <w:rPr>
                <w:sz w:val="1"/>
                <w:szCs w:val="1"/>
                <w:color w:val="auto"/>
              </w:rPr>
            </w:pPr>
          </w:p>
        </w:tc>
      </w:tr>
      <w:tr>
        <w:trPr>
          <w:trHeight w:val="2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Stock</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Pr>
          <w:p>
            <w:pPr>
              <w:spacing w:after="0"/>
              <w:rPr>
                <w:sz w:val="20"/>
                <w:szCs w:val="20"/>
                <w:color w:val="auto"/>
              </w:rPr>
            </w:pPr>
          </w:p>
        </w:tc>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5"/>
              </w:rPr>
              <w:t>Equity</w:t>
            </w:r>
          </w:p>
        </w:tc>
        <w:tc>
          <w:tcPr>
            <w:tcW w:w="0" w:type="dxa"/>
            <w:vAlign w:val="bottom"/>
          </w:tcPr>
          <w:p>
            <w:pPr>
              <w:spacing w:after="0"/>
              <w:rPr>
                <w:sz w:val="1"/>
                <w:szCs w:val="1"/>
                <w:color w:val="auto"/>
              </w:rPr>
            </w:pPr>
          </w:p>
        </w:tc>
      </w:tr>
      <w:tr>
        <w:trPr>
          <w:trHeight w:val="218"/>
        </w:trPr>
        <w:tc>
          <w:tcPr>
            <w:tcW w:w="3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156,494,816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2,578,603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1,920,351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4,360,187</w:t>
            </w:r>
          </w:p>
        </w:tc>
        <w:tc>
          <w:tcPr>
            <w:tcW w:w="0" w:type="dxa"/>
            <w:vAlign w:val="bottom"/>
          </w:tcPr>
          <w:p>
            <w:pPr>
              <w:spacing w:after="0"/>
              <w:rPr>
                <w:sz w:val="1"/>
                <w:szCs w:val="1"/>
                <w:color w:val="auto"/>
              </w:rPr>
            </w:pPr>
          </w:p>
        </w:tc>
      </w:tr>
      <w:tr>
        <w:trPr>
          <w:trHeight w:val="172"/>
        </w:trPr>
        <w:tc>
          <w:tcPr>
            <w:tcW w:w="3060" w:type="dxa"/>
            <w:vAlign w:val="bottom"/>
            <w:gridSpan w:val="2"/>
          </w:tcPr>
          <w:p>
            <w:pPr>
              <w:ind w:left="220"/>
              <w:spacing w:after="0" w:line="172" w:lineRule="exact"/>
              <w:rPr>
                <w:sz w:val="20"/>
                <w:szCs w:val="20"/>
                <w:color w:val="auto"/>
              </w:rPr>
            </w:pPr>
            <w:r>
              <w:rPr>
                <w:rFonts w:ascii="Times New Roman" w:cs="Times New Roman" w:eastAsia="Times New Roman" w:hAnsi="Times New Roman"/>
                <w:sz w:val="18"/>
                <w:szCs w:val="18"/>
                <w:color w:val="auto"/>
              </w:rPr>
              <w:t>Issuance of common stock upon the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exercise of stock options and vesting of</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6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restricted and deferred stock units, net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1,743,329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(69,604)</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shares withheld for employee taxes</w:t>
            </w: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60" w:type="dxa"/>
            <w:vAlign w:val="bottom"/>
            <w:gridSpan w:val="2"/>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62,365</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398,495</w:t>
            </w:r>
          </w:p>
        </w:tc>
        <w:tc>
          <w:tcPr>
            <w:tcW w:w="0" w:type="dxa"/>
            <w:vAlign w:val="bottom"/>
          </w:tcPr>
          <w:p>
            <w:pPr>
              <w:spacing w:after="0"/>
              <w:rPr>
                <w:sz w:val="1"/>
                <w:szCs w:val="1"/>
                <w:color w:val="auto"/>
              </w:rPr>
            </w:pPr>
          </w:p>
        </w:tc>
      </w:tr>
      <w:tr>
        <w:trPr>
          <w:trHeight w:val="172"/>
        </w:trPr>
        <w:tc>
          <w:tcPr>
            <w:tcW w:w="3060" w:type="dxa"/>
            <w:vAlign w:val="bottom"/>
            <w:gridSpan w:val="2"/>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Issuance of warrants related to</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0" w:type="dxa"/>
            <w:vAlign w:val="bottom"/>
          </w:tcPr>
          <w:p>
            <w:pPr>
              <w:spacing w:after="0"/>
              <w:rPr>
                <w:sz w:val="1"/>
                <w:szCs w:val="1"/>
                <w:color w:val="auto"/>
              </w:rPr>
            </w:pPr>
          </w:p>
        </w:tc>
      </w:tr>
      <w:tr>
        <w:trPr>
          <w:trHeight w:val="172"/>
        </w:trPr>
        <w:tc>
          <w:tcPr>
            <w:tcW w:w="3060" w:type="dxa"/>
            <w:vAlign w:val="bottom"/>
            <w:gridSpan w:val="2"/>
          </w:tcPr>
          <w:p>
            <w:pPr>
              <w:ind w:left="220"/>
              <w:spacing w:after="0" w:line="172" w:lineRule="exact"/>
              <w:rPr>
                <w:sz w:val="20"/>
                <w:szCs w:val="20"/>
                <w:color w:val="auto"/>
              </w:rPr>
            </w:pPr>
            <w:r>
              <w:rPr>
                <w:rFonts w:ascii="Times New Roman" w:cs="Times New Roman" w:eastAsia="Times New Roman" w:hAnsi="Times New Roman"/>
                <w:sz w:val="18"/>
                <w:szCs w:val="18"/>
                <w:color w:val="auto"/>
              </w:rPr>
              <w:t>Purchase of note hedge related to</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convertible senior notes, net of deferred</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taxes of $57,628</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(178,927)</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(7,801,778)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(658,187)</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retirement</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Foreign currency translation adjustment</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0" w:type="dxa"/>
            <w:vAlign w:val="bottom"/>
          </w:tcPr>
          <w:p>
            <w:pPr>
              <w:spacing w:after="0"/>
              <w:rPr>
                <w:sz w:val="1"/>
                <w:szCs w:val="1"/>
                <w:color w:val="auto"/>
              </w:rPr>
            </w:pPr>
          </w:p>
        </w:tc>
      </w:tr>
      <w:tr>
        <w:trPr>
          <w:trHeight w:val="172"/>
        </w:trPr>
        <w:tc>
          <w:tcPr>
            <w:tcW w:w="3060" w:type="dxa"/>
            <w:vAlign w:val="bottom"/>
            <w:gridSpan w:val="2"/>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Change in unrealized gain on</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net of tax</w:t>
            </w:r>
          </w:p>
        </w:tc>
        <w:tc>
          <w:tcPr>
            <w:tcW w:w="11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0" w:type="dxa"/>
            <w:vAlign w:val="bottom"/>
          </w:tcPr>
          <w:p>
            <w:pPr>
              <w:spacing w:after="0"/>
              <w:rPr>
                <w:sz w:val="1"/>
                <w:szCs w:val="1"/>
                <w:color w:val="auto"/>
              </w:rPr>
            </w:pPr>
          </w:p>
        </w:tc>
      </w:tr>
      <w:tr>
        <w:trPr>
          <w:trHeight w:val="21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151,232,908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2,467,980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4,597,155</w:t>
            </w:r>
          </w:p>
        </w:tc>
        <w:tc>
          <w:tcPr>
            <w:tcW w:w="0" w:type="dxa"/>
            <w:vAlign w:val="bottom"/>
          </w:tcPr>
          <w:p>
            <w:pPr>
              <w:spacing w:after="0"/>
              <w:rPr>
                <w:sz w:val="1"/>
                <w:szCs w:val="1"/>
                <w:color w:val="auto"/>
              </w:rPr>
            </w:pPr>
          </w:p>
        </w:tc>
      </w:tr>
      <w:tr>
        <w:trPr>
          <w:trHeight w:val="172"/>
        </w:trPr>
        <w:tc>
          <w:tcPr>
            <w:tcW w:w="3060" w:type="dxa"/>
            <w:vAlign w:val="bottom"/>
            <w:gridSpan w:val="2"/>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Issuance of common stock upon the</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6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exercise of stock options and vesting of</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60" w:type="dxa"/>
            <w:vAlign w:val="bottom"/>
            <w:gridSpan w:val="2"/>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restricted and deferred stock units, net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3,627,278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(172,524)</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shares withheld for employee taxes</w:t>
            </w: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60" w:type="dxa"/>
            <w:vAlign w:val="bottom"/>
            <w:gridSpan w:val="2"/>
          </w:tcPr>
          <w:p>
            <w:pPr>
              <w:ind w:left="220"/>
              <w:spacing w:after="0" w:line="172"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61,131</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506,828</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(5,622,892)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(558,488)</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Foreign currency translation adjustment</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(59,064)</w:t>
            </w:r>
          </w:p>
        </w:tc>
        <w:tc>
          <w:tcPr>
            <w:tcW w:w="0" w:type="dxa"/>
            <w:vAlign w:val="bottom"/>
          </w:tcPr>
          <w:p>
            <w:pPr>
              <w:spacing w:after="0"/>
              <w:rPr>
                <w:sz w:val="1"/>
                <w:szCs w:val="1"/>
                <w:color w:val="auto"/>
              </w:rPr>
            </w:pPr>
          </w:p>
        </w:tc>
      </w:tr>
      <w:tr>
        <w:trPr>
          <w:trHeight w:val="172"/>
        </w:trPr>
        <w:tc>
          <w:tcPr>
            <w:tcW w:w="3060" w:type="dxa"/>
            <w:vAlign w:val="bottom"/>
            <w:gridSpan w:val="2"/>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Change in unrealized loss on</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net of tax</w:t>
            </w:r>
          </w:p>
        </w:tc>
        <w:tc>
          <w:tcPr>
            <w:tcW w:w="11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150,025,096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2,618,384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(558,488)</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2,972,898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4,878,357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4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Akamai Technologies, Inc. (the “Company”) develops and provides solutions for global enterprises to build, secure and accelerate their applications and digital experiences. Its massively distributed global network is comprised of core and distributed compute sites, more than 4,300 edge points-of-presence in approximately 130 countries and over 700 cities. The Company was incorporated in Delaware in 1998 and is headquartered in Cambridge, Massachusetts. The Company is currently organized and operates as one operating and reportable segment.</w:t>
      </w:r>
    </w:p>
    <w:p>
      <w:pPr>
        <w:spacing w:after="0" w:line="207" w:lineRule="exact"/>
        <w:rPr>
          <w:sz w:val="20"/>
          <w:szCs w:val="20"/>
          <w:color w:val="auto"/>
        </w:rPr>
      </w:pPr>
    </w:p>
    <w:p>
      <w:pPr>
        <w:ind w:right="700" w:firstLine="318"/>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transactions and balances have been eliminated in the accompanying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6"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conformity with accounting principles generally accepted in the United States of America. These principles require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accounts receivable and related reserves, valuation and impairment of investments and marketable securities, valuation and amortization periods of acquired intangible assets, useful lives and realizability of long-lived assets, capitalized internal-use software development costs, income tax reserves and accounting for stock-based compensation. Estimates are periodically reviewed in light of changes in circumstances, facts and experience. The effects of material revisions in estimates are reflected in the consolidated financial statements prospectively from the date of the change in estimate.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Marketable Securities</w:t>
      </w:r>
    </w:p>
    <w:p>
      <w:pPr>
        <w:spacing w:after="0" w:line="246"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Cash and cash equivalents consist of cash held in bank deposit accounts and short-term, highly-liquid investments with remaining maturities of three months or less at the date of purchase. Marketable securities consist of corporate, government and other securities. Securities having remaining maturities of less than one year from the date of the balance sheet are classified as short-term, and those with maturities of more than one year from the date of the balance sheet are classified as long-term in the consolidated balance sheets.</w:t>
      </w:r>
    </w:p>
    <w:p>
      <w:pPr>
        <w:spacing w:after="0" w:line="207" w:lineRule="exact"/>
        <w:rPr>
          <w:sz w:val="20"/>
          <w:szCs w:val="20"/>
          <w:color w:val="auto"/>
        </w:rPr>
      </w:pPr>
    </w:p>
    <w:p>
      <w:pPr>
        <w:ind w:right="640" w:firstLine="318"/>
        <w:spacing w:after="0" w:line="259" w:lineRule="auto"/>
        <w:rPr>
          <w:sz w:val="20"/>
          <w:szCs w:val="20"/>
          <w:color w:val="auto"/>
        </w:rPr>
      </w:pPr>
      <w:r>
        <w:rPr>
          <w:rFonts w:ascii="Times New Roman" w:cs="Times New Roman" w:eastAsia="Times New Roman" w:hAnsi="Times New Roman"/>
          <w:sz w:val="18"/>
          <w:szCs w:val="18"/>
          <w:color w:val="auto"/>
        </w:rPr>
        <w:t>The Company classifies its fixed income securities with readily determinable fair values as available-for-sale. These investments are classified as marketable securities on the consolidated balance sheets and are carried at fair value, with unrealized gains and losses reported as accumulated other comprehensive loss, a separate component of stockholders’ equity.</w:t>
      </w:r>
    </w:p>
    <w:p>
      <w:pPr>
        <w:spacing w:after="0" w:line="204"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Available-for-sale securities are evaluated for impairment when the fair value declines below the cost basis. The Company periodically evaluates whether the decline is due to credit losses by considering available evidence regarding these investments including, among other factors, the extent to which, the fair value is less than the cost basis; the financial health of, and business outlook for, the issuer, including industry and sector performance and operational and financing cash flow factors. Additionally, the Company considers its intent and ability to retain its investment in the security for a period of time sufficient to allow for an anticipated recovery in market value. Assessing the above factors involves inherent uncertainty. If a portion of the unrealized loss is due to credit losses, or if the Company does not have the intent or ability to retain its investment in the security, an impairment will be recorded in interest and marketable securities income, net. Impairments, if recorded, could materially differ from the actual market performance of marketable securities in the Company's portfolio if, among other things, relevant information related to the Company's investments was not publicly available, or other factors not considered by the Company would have been relevant to the determination of impairment.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Related Reserves</w:t>
      </w:r>
    </w:p>
    <w:p>
      <w:pPr>
        <w:spacing w:after="0" w:line="246"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Company’s accounts receivable balance includes unbilled amounts that represent revenue recorded for customers that are typically billed monthly in arrears. The Company records reserves against its accounts receivable balance which primarily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consists of allowances for current expected credit losses. Increases and decreases in the allowance for current expected credit losses are included as a component of general and administrative expense in the consolidated statements of income. The allowance for current expected credit losses has been developed using historical loss rates for the previous twelve months as well as expectations about the future where the Company has been able to develop forecasts to support its estimates. In addition, the allowance considers outstanding balances on a customer-specific, account-by-account basis. The Company assesses collectibility based upon a review of customer receivables from prior sales with collection issues where the Company no longer believes that the customer has the ability to pay for services previously provided. The Company also performs ongoing credit evaluations of its customers. If such an evaluation indicates that payment is no longer reasonably assured for services provided, any future services provided to that customer will result in the creation of a cash-basis reserve until the Company receives consistent payments. The Company does not have any off-balance sheet credit exposure related to its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Costs to Obtain a Contract with a Customer</w:t>
      </w:r>
    </w:p>
    <w:p>
      <w:pPr>
        <w:spacing w:after="0" w:line="24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Company capitalizes incremental costs associated with obtaining customer contracts, specifically certain commission and incentive payments. The Company pays commissions and incentives up-front based on contract value upon signing a new arrangement with a customer and upon renewal and upgrades of existing contracts with customers if the renewal and upgrades result in an incremental increase in contract value. To the extent commissions and incentives are earned, the expenses, including estimated payroll taxes, are deferred on the Company's consolidated balance sheet and amortized over the expected life of the customer arrangement on a straight-line basis. Based on the nature of the Company's unique technology and services, and the rate at which the Company continually enhances and updates its technology, the expected life of the customer arrangement is determined to be approximately three years. Additionally, the Company may pay commissions and incentives based upon contract value, rather than incremental increase in contract value, to certain sales groups within the Company. For these commission arrangements, the Company amortizes capitalized costs for contract renewals over an average renewal contract period of 16 months. The Company also incurs commission expense on an ongoing basis based upon revenue recognized. In these cases, no incremental costs are deferred, as the commissions are earned and expensed in the same period for which the associated revenue is recognized.</w:t>
      </w:r>
    </w:p>
    <w:p>
      <w:pPr>
        <w:spacing w:after="0" w:line="220"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Amortization of the costs is primarily included in sales and marketing expense in the consolidated statements of income. The current portion of deferred commission and incentive payments is included in prepaid expenses and other current assets, and the long-term portion is included in other assets on the Company's consolidated balance sheets.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46"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amounts reflected in the consolidated balance sheets for accounts receivable, other current assets, accounts payable, accrued liabilities and other current liabilities approximate fair values due to their short-term maturities. The Company maintains the majority of its cash, cash equivalents and marketable securities with major financial institutions that the Company believes to be of high credit standing. The Company believes that, as of December 31, 2024, its concentration of credit risk related to cash equivalents and marketable securities was not significant.</w:t>
      </w:r>
    </w:p>
    <w:p>
      <w:pPr>
        <w:spacing w:after="0" w:line="207"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primarily limited to certain customers to which the Company makes substantial sales. The Company’s customer base consists of a large number of geographically-dispersed customers diversified across several industries. To reduce risk, the Company routinely assesses the financial strength of its customers. Based on such assessments, the Company believes that its accounts receivable credit risk exposure is limited. For the years ended December 31, 2024, 2023 and 2022, no customer accounted for more than 10% of total revenue. As of December 31, 2024 and 2023, no customer had an accounts receivable balance greater than 10% of total accounts receivable. The Company believes that, as of December 31, 2024 and 2023, its concentration of credit risk related to accounts receivable was not significant.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4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When the Company has certain financial assets and liabilities recorded at fair value, principally cash equivalents and short- and long-term marketable securities, they are classified as Level 1, 2 or 3 within the fair value hierarchy. Fair values determined by Level 1 valuations are based upon the market prices for such investments that are readily available in active markets and Level 2 valuations are based upon the available quoted prices for similar assets in active markets (or identical assets in an inactive market). Fair values determined by Level 3 inputs are based on unobservable data points for the asset or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46"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Property and equipment generally include purchases of items with a per-unit value greater than $1,000 and an estimated useful life greater than one year. Depreciation and amortization are computed on a straight-line basis over the estimated useful lives of the assets. Leasehold improvements are amortized over the shorter of the related lease terms or their estimated useful lives.</w:t>
      </w:r>
    </w:p>
    <w:p>
      <w:pPr>
        <w:spacing w:after="0" w:line="207"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The Company periodically reviews the estimated useful lives of property and equipment. Changes to the estimated useful lives are recorded prospectively from the date of the change. Upon retirement or sale, the cost of the assets disposed of and the related accumulated depreciation are removed from the accounts, and any resulting gain or loss is included in income from operations. Repairs and maintenance costs are expensed as incurred.</w:t>
      </w:r>
    </w:p>
    <w:p>
      <w:pPr>
        <w:spacing w:after="0" w:line="20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implemented software and hardware initiatives to manage its global network more efficiently and, as a result, the expected average useful life of its servers increased from five years to six years, effective January 1, 2023. These changes decreased depreciation expense by $47.7 million for the year ended December 31, 2024, and increased net income by $39.8 million, or $0.26 per share, for the year ended December 31, 2024. These changes decreased depreciation expense by $62.7 million for the year ended December 31, 2023, and increased net income by $52.3 million, or $0.34 per share, for the year ended December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46"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The Company enters into operating leases for real estate assets related to office space and co-location assets related to space or racks at co-location facilities and related equipment for its servers and other networking equipment. The Company determines if an arrangement contains a lease at the inception of a contract by assessing whether there is an identified asset and whether the contract conveys the right to control the use of the identified asset in exchange for consideration and the right to obtain the economic benefits from the use of the identified asset.</w:t>
      </w:r>
    </w:p>
    <w:p>
      <w:pPr>
        <w:spacing w:after="0" w:line="20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Upon commencement of a lease, the Company records a right-of-use asset that represents the Company’s right to use the underlying asset for the lease term and a lease liability that represents an obligation to make lease payments arising from the lease. Right-of-use assets and lease liabilities are recognized at the commencement date based on the present value of lease payments over the lease term. Lease payments are discounted at the lease commencement date. As the implicit rates in the Company’s leases are not readily determinable, an incremental borrowing rate has been applied based on the Company's credit-adjusted risk-free rate.</w:t>
      </w:r>
    </w:p>
    <w:p>
      <w:pPr>
        <w:spacing w:after="0" w:line="212"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Company often enters into contracts that contain both lease and non-lease components. Real estate non-lease components include real estate taxes, insurance, maintenance, parking and other operating costs. Co-location non-lease components include utilities and other operating costs. The Company accounts for both lease and non-lease components of fixed costs in its lease arrangements as a single lease component. Variable costs, primarily utilities based on actual usage, common area maintenance and real estate taxes, are not included in the measurement of right-of-use assets and lease liabilities but are expensed when the event determining the amount of variable consideration to be paid occurs.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lease terms often include renewal options and, particularly in the case of co-location arrangements, may include evergreen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provisions. The Company’s right-of-use assets and lease liabilities generally do not include the options to extend, or terminate, unless it is reasonably certain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Company will exercise these options. The Company has elected to exclude leases for certain networking equipment and leases assumed through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with terms of 12 months or less from its right-of-use assets and lease liabilities on its consolidated balance sheets.</w:t>
      </w:r>
    </w:p>
    <w:p>
      <w:pPr>
        <w:spacing w:after="0" w:line="224" w:lineRule="exact"/>
        <w:rPr>
          <w:sz w:val="20"/>
          <w:szCs w:val="20"/>
          <w:color w:val="auto"/>
        </w:rPr>
      </w:pPr>
    </w:p>
    <w:p>
      <w:pPr>
        <w:jc w:val="both"/>
        <w:ind w:right="320" w:firstLine="318"/>
        <w:spacing w:after="0" w:line="304" w:lineRule="auto"/>
        <w:rPr>
          <w:sz w:val="20"/>
          <w:szCs w:val="20"/>
          <w:color w:val="auto"/>
        </w:rPr>
      </w:pPr>
      <w:r>
        <w:rPr>
          <w:rFonts w:ascii="Times New Roman" w:cs="Times New Roman" w:eastAsia="Times New Roman" w:hAnsi="Times New Roman"/>
          <w:sz w:val="17"/>
          <w:szCs w:val="17"/>
          <w:color w:val="auto"/>
        </w:rPr>
        <w:t>Lease expense is recognized on a straight-line basis over the expected lease term. Reductions in right-of-use assets and changes in lease liabilities are presented on a net basis within other non-current assets and liabilities within the operating section of the Company's consolidated statement of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Method Investments</w:t>
      </w:r>
    </w:p>
    <w:p>
      <w:pPr>
        <w:spacing w:after="0" w:line="246"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The Company accounts for its cost method investments at cost, less impairment, and adjusts for subsequent observable price changes. The Company's cost method investments consist primarily of equity securities of companies which do not have readily determinable fair values, and in which the Company does not have the ability to exercise significant influence over the companies' operations. As of December 31, 2024 and 2023, the carrying amount of the Company's cost method investments was $20.5 million and $19.6 million, respectively, and are included in other assets in the consolidated balance sheets. In 2024</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700"/>
        <w:spacing w:after="0" w:line="274" w:lineRule="auto"/>
        <w:rPr>
          <w:sz w:val="20"/>
          <w:szCs w:val="20"/>
          <w:color w:val="auto"/>
        </w:rPr>
      </w:pPr>
      <w:r>
        <w:rPr>
          <w:rFonts w:ascii="Times New Roman" w:cs="Times New Roman" w:eastAsia="Times New Roman" w:hAnsi="Times New Roman"/>
          <w:sz w:val="18"/>
          <w:szCs w:val="18"/>
          <w:color w:val="auto"/>
        </w:rPr>
        <w:t>and 2022, impairment losses of $5.1 million and $8.9 million, respectively, were recognized in other expense, net within the Company's consolidated statements of income. There were no impairments in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46" w:lineRule="exact"/>
        <w:rPr>
          <w:sz w:val="20"/>
          <w:szCs w:val="20"/>
          <w:color w:val="auto"/>
        </w:rPr>
      </w:pPr>
    </w:p>
    <w:p>
      <w:pPr>
        <w:jc w:val="both"/>
        <w:ind w:right="320" w:firstLine="318"/>
        <w:spacing w:after="0" w:line="259" w:lineRule="auto"/>
        <w:rPr>
          <w:sz w:val="20"/>
          <w:szCs w:val="20"/>
          <w:color w:val="auto"/>
        </w:rPr>
      </w:pPr>
      <w:r>
        <w:rPr>
          <w:rFonts w:ascii="Times New Roman" w:cs="Times New Roman" w:eastAsia="Times New Roman" w:hAnsi="Times New Roman"/>
          <w:sz w:val="18"/>
          <w:szCs w:val="18"/>
          <w:color w:val="auto"/>
        </w:rPr>
        <w:t>The Company accounts for equity investments in which it has significant influence, but not a controlling financial interest, using the equity method of accounting. Under the equity method of accounting, investments are initially recorded at cost, less impairment, and subsequently adjusted to recognize the Company’s share of earnings or losses.</w:t>
      </w:r>
    </w:p>
    <w:p>
      <w:pPr>
        <w:spacing w:after="0" w:line="204"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Company and Mitsubishi UFJ Financial Group ("MUFG") established Global Open Network, Inc. ("GO-NET") as a joint venture. The Company's 20% stake in GO-NET was accounted for using the equity method. In 2022, MUFG announced its intention to suspend operations and liquidate GO-NET. The liquidation was finalized in 2023. Due to these actions, the Company impaired its remaining investment of $7.5 million in GO-NET in 2022. In 2023, a gain of $1.5 million was recognized related to the Company's receipt of its share of GO-NET's remaining assets upon final liquidation.</w:t>
      </w:r>
    </w:p>
    <w:p>
      <w:pPr>
        <w:spacing w:after="0" w:line="207"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While GO-NET was in operation, the Company recognized revenue of $4.0 million for the year ended December 31, 2022 for services provided to GO-NET. The Company no longer provided these services after June 2022 due to the suspension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Acquired Intangible Assets and Long-Lived Assets</w:t>
      </w:r>
    </w:p>
    <w:p>
      <w:pPr>
        <w:spacing w:after="0" w:line="24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Goodwill is the amount by which the cost of acquired net assets in a business combination exceeds the fair value of the net identifiable assets on the date of purchase and is carried at its historical cost. The Company tests goodwill for impairment on an annual basis or more frequently if events or changes in circumstances indicate that the asset might be impaired. The Company performs its impairment test of goodwill as of December 31 each year. As of December 31, 2024, 2023 and 2022, the Company concluded that it has one reporting unit and that its chief operating decision maker is its chief executive officer and the executive management team. The Company has assigned the entire balance of goodwill to one reporting unit. The fair value of the reporting unit was based on the Company's market capitalization as of each of December 31, 2024 and 2023, and it was substantially in excess of the carrying value of the reporting unit at each date.</w:t>
      </w:r>
    </w:p>
    <w:p>
      <w:pPr>
        <w:spacing w:after="0" w:line="213"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Acquired intangible assets consist of completed technologies, customer-related intangible assets, trademarks and trade names and acquired license rights. Acquired intangible assets, other than goodwill, are amortized over their estimated useful lives based upon the estimated economic value derived from the related intangible asset. Significant judgment is used in determining fair values of acquired intangibles assets and their estimated useful lives. Fair value and useful life determinations may be based on, among other factors, estimates of future expected cash flows, royalty cost savings and appropriate discount rates used in calculating present values.</w:t>
      </w:r>
    </w:p>
    <w:p>
      <w:pPr>
        <w:spacing w:after="0" w:line="212"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7"/>
          <w:szCs w:val="17"/>
          <w:color w:val="auto"/>
        </w:rPr>
        <w:t>Long-lived assets, including property and equipment, operating lease right-of-use assets and acquired intangible assets, are reviewed for impairment whenever events or changes in circumstances, such as service discontinuance, technological obsolescence, significant decreases in the Company’s market capitalization, facility closures or work-force reductions indicate that the carrying amount of the long-lived asset may not be recoverable. When such events occur, the Company compares the carrying amount of the asset to the undiscounted expected future cash flows related to the asset. If this comparison indicates that an impairment is present, the amount of the impairment is calculated as the difference between the carrying amount and the fair value of the asset.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1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Contract liabilities primarily represent payments received from customers for which the related performance obligations have not yet been satisfied. These balances consist of the unearned portion of monthly service fees and integration fees and prepayments made by customers for future periods. The current and long-term portions of the Company's contract liabilities are included in deferred revenue in the respective sections of the Company's consolidated balance sheets.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Company primarily derives revenue from the sale of services to customers executing contracts having terms of one year or longer. Services included in the Company's contracts consist of security solutions, the delivery of content, applications and software over the internet, compute solutions and professional services. Revenue is recognized upon transfer of control of promised services in an amount that reflects the consideration the Company expects to receive in exchange for those services.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these services, which are generally capable of being distinct and accounted for as separate performance obligations. These contracts generally commit the customer to a minimum of monthly, quarterly or annual levels of usage and specify the rate at which the customer must pay for actual usage above the stated minimum. Based on the typical structure of the Company's contracts, which are generally for monthly recurring services that are essentially the same over time and have the same pattern of transfer to the customer, most performance obligations represent a promise to deliver a series of distinct services over time.</w:t>
      </w:r>
    </w:p>
    <w:p>
      <w:pPr>
        <w:spacing w:after="0" w:line="212" w:lineRule="exact"/>
        <w:rPr>
          <w:sz w:val="20"/>
          <w:szCs w:val="20"/>
          <w:color w:val="auto"/>
        </w:rPr>
      </w:pPr>
    </w:p>
    <w:p>
      <w:pPr>
        <w:ind w:right="260" w:firstLine="318"/>
        <w:spacing w:after="0" w:line="252" w:lineRule="auto"/>
        <w:rPr>
          <w:sz w:val="20"/>
          <w:szCs w:val="20"/>
          <w:color w:val="auto"/>
        </w:rPr>
      </w:pPr>
      <w:r>
        <w:rPr>
          <w:rFonts w:ascii="Times New Roman" w:cs="Times New Roman" w:eastAsia="Times New Roman" w:hAnsi="Times New Roman"/>
          <w:sz w:val="18"/>
          <w:szCs w:val="18"/>
          <w:color w:val="auto"/>
        </w:rPr>
        <w:t>The Company's contracts with customers sometimes include promises to deliver multiple services to a customer. Determining whether services are distinct performance obligations often requires the exercise of judgment by management. For example, advanced features that enhance a service and are highly interrelated are generally not considered distinct; rather, they are combined with the service they relate to into one performance obligation. Different determinations related to combining services into performance obligations could result in differences in the timing and amount of revenue recognized in a period.</w:t>
      </w:r>
    </w:p>
    <w:p>
      <w:pPr>
        <w:spacing w:after="0" w:line="212"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Generally, the transaction price in a contract is equal to the committed price stated in the contract, less any discounts or rebates. The Company's typical contracts qualify for series accounting, and the pricing terms generally do not require estimation of the transaction price beyond the reporting period. As a result, any incremental fees generated as a result of usage or “bursting” over committed contract levels are recorded in the period to which the services relate. The amount of consideration recognized for usage above contract minimums is limited to the amount the Company expects to be entitled to receive in exchange for providing the services. Once the transaction price has been determined, the Company allocates such price among all performance obligations in the contract on a relative standalone selling price (“SSP”) basis.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Determination of SSP requires the exercise of judgment by management. SSP is based on observable inputs such as the price the Company charges for the service when sold separately or the discounted list price per management’s approved price list. In cases where services are not sold separately or price list rates are not available, a cost-plus-margin approach or adjusted market approach is used to determine SSP.</w:t>
      </w:r>
    </w:p>
    <w:p>
      <w:pPr>
        <w:spacing w:after="0" w:line="204" w:lineRule="exact"/>
        <w:rPr>
          <w:sz w:val="20"/>
          <w:szCs w:val="20"/>
          <w:color w:val="auto"/>
        </w:rPr>
      </w:pPr>
    </w:p>
    <w:p>
      <w:pPr>
        <w:ind w:right="240" w:firstLine="318"/>
        <w:spacing w:after="0" w:line="271" w:lineRule="auto"/>
        <w:rPr>
          <w:sz w:val="20"/>
          <w:szCs w:val="20"/>
          <w:color w:val="auto"/>
        </w:rPr>
      </w:pPr>
      <w:r>
        <w:rPr>
          <w:rFonts w:ascii="Times New Roman" w:cs="Times New Roman" w:eastAsia="Times New Roman" w:hAnsi="Times New Roman"/>
          <w:sz w:val="17"/>
          <w:szCs w:val="17"/>
          <w:color w:val="auto"/>
        </w:rPr>
        <w:t>Most security, delivery and compute services represent stand-ready obligations that are satisfied over time as the customer simultaneously receives and consumes the benefits provided by the Company. Accordingly, revenue for those services is recognized over time, generally ratably over the term of the arrangement due to consistent monthly usage commitments that expire each period. Any bursting over given commitments is recognized in the period in which the usage was served. For services that involve traffic consumption, revenue is recognized in an amount that reflects the level of traffic served to a customer in a given period. For custom arrangements, other methods may be used as a measure of progress towards satisfying the performance obligations.</w:t>
      </w:r>
    </w:p>
    <w:p>
      <w:pPr>
        <w:spacing w:after="0" w:line="195" w:lineRule="exact"/>
        <w:rPr>
          <w:sz w:val="20"/>
          <w:szCs w:val="20"/>
          <w:color w:val="auto"/>
        </w:rPr>
      </w:pPr>
    </w:p>
    <w:p>
      <w:pPr>
        <w:jc w:val="both"/>
        <w:ind w:right="220" w:firstLine="318"/>
        <w:spacing w:after="0" w:line="259" w:lineRule="auto"/>
        <w:rPr>
          <w:sz w:val="20"/>
          <w:szCs w:val="20"/>
          <w:color w:val="auto"/>
        </w:rPr>
      </w:pPr>
      <w:r>
        <w:rPr>
          <w:rFonts w:ascii="Times New Roman" w:cs="Times New Roman" w:eastAsia="Times New Roman" w:hAnsi="Times New Roman"/>
          <w:sz w:val="18"/>
          <w:szCs w:val="18"/>
          <w:color w:val="auto"/>
        </w:rPr>
        <w:t>A small percentage of the Company's contracts are satisfied at a point in time, such as one-time professional services contracts, integration services and most license sales where the primary obligation is delivery of the license at the start of the term. In these cases, revenue is recognized at the point in time of delivery or satisfaction of the performance obligation.</w:t>
      </w:r>
    </w:p>
    <w:p>
      <w:pPr>
        <w:spacing w:after="0" w:line="204"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From time to time, the Company enters into contracts to sell its services or license its technology to unrelated enterprises at or about the same time that it enters into contracts to purchase products or services from the same enterprises. Consideration payable to a customer is reviewed as part of the transaction price. If the payment to the customer does not represent payment for a distinct service, revenue is recognized only up to the net amount of consideration after customer payment obligations are considered. The Company may also resell the licenses or services of third parties. If the Company is acting as an agent in an arrangement with a customer to provide third party services, the transaction price reflects only the net amount to which the Company will be entitled, after accounting for payments made to the third party responsible for satisfying the performance obligation.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46"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Cost of revenue consists primarily of fees paid to network providers for bandwidth and to third-party network data centers for housing servers, also known as co-location costs. Cost of revenue also includes employee costs for services delivery and network operation, build-out and support of the Company's network; network storage costs; cost of software licenses; depreciation of network equipment used to deliver the Company’s services; and amortization of network-related internal-use software. The Company enters into contracts for bandwidth with third-party network providers with terms typically ranging from several months to two years. These contracts generally commit the Company to pay minimum monthly fees plus additional fees for bandwidth usage above the committed level. In some circumstances, internet service providers (“ISPs”) make rack space available for the Company to locate its servers and provide access to their bandwidth at a discount or no cost. Although the Company does not provide any goods or services to the ISPs or the ISPs’ customers under these arrangements, the ISPs and their customers indirectly benefit by accessing content through a local Company server, resulting in better content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The Company records the cost of these vendor relationships at their negotiated transaction price, which is either at a discount or no cost.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 and Capitalized Internal-Use Software</w:t>
      </w:r>
    </w:p>
    <w:p>
      <w:pPr>
        <w:spacing w:after="0" w:line="246"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Research and development costs consist primarily of payroll and related personnel costs for the design, development, deployment, testing and enhancement of the Company’s solutions and global network. Costs incurred in the development of the Company’s services are expensed as incurred, except certain internal-use software development costs eligible for capitalization.</w:t>
      </w:r>
    </w:p>
    <w:p>
      <w:pPr>
        <w:spacing w:after="0" w:line="204"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Capitalized costs include external consulting fees, payroll and payroll-related costs and stock-based compensation for employees in the Company’s engineering, research and development and information technology groups who are directly associated with, and who devote time to, the Company’s internal-use software projects. Capitalization begins when the planning stage is complete and the Company commits resources to the software project; capitalization continues during the application development stage. Capitalization ceases when the software has been tested and is ready for its intended use. Costs incurred during the planning, training and post-implementation stages of the software development life-cycle are expensed as incurred. The Company amortizes completed internal-use software that is used on its network to cost of revenue over its estimated useful life.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The Company classifies certain expenses as restructuring charges that result from programs that have significantly changed either the scope of the business undertaken by management or the manner in which that business is conducted. These charges include employee severance and related expenses for workforce reductions, impairments of long-lived assets that will no longer be used in operations (including acquired intangible assets, operating lease right-of-use assets, other facility-related property and equipment and internal-use software) and termination fees for any contracts cancelled as part of these programs.</w:t>
      </w:r>
    </w:p>
    <w:p>
      <w:pPr>
        <w:spacing w:after="0" w:line="194" w:lineRule="exact"/>
        <w:rPr>
          <w:sz w:val="20"/>
          <w:szCs w:val="20"/>
          <w:color w:val="auto"/>
        </w:rPr>
      </w:pPr>
    </w:p>
    <w:p>
      <w:pPr>
        <w:ind w:right="640" w:firstLine="318"/>
        <w:spacing w:after="0" w:line="274" w:lineRule="auto"/>
        <w:rPr>
          <w:sz w:val="20"/>
          <w:szCs w:val="20"/>
          <w:color w:val="auto"/>
        </w:rPr>
      </w:pPr>
      <w:r>
        <w:rPr>
          <w:rFonts w:ascii="Times New Roman" w:cs="Times New Roman" w:eastAsia="Times New Roman" w:hAnsi="Times New Roman"/>
          <w:sz w:val="18"/>
          <w:szCs w:val="18"/>
          <w:color w:val="auto"/>
        </w:rPr>
        <w:t>Employee severance and related expenses are recognized when the action giving rise to the expense is probable. Employee severance and related expenses are based upon contractual severance plans.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6" w:lineRule="exact"/>
        <w:rPr>
          <w:sz w:val="20"/>
          <w:szCs w:val="20"/>
          <w:color w:val="auto"/>
        </w:rPr>
      </w:pPr>
    </w:p>
    <w:p>
      <w:pPr>
        <w:jc w:val="both"/>
        <w:ind w:right="40" w:firstLine="318"/>
        <w:spacing w:after="0" w:line="271" w:lineRule="auto"/>
        <w:rPr>
          <w:sz w:val="20"/>
          <w:szCs w:val="20"/>
          <w:color w:val="auto"/>
        </w:rPr>
      </w:pPr>
      <w:r>
        <w:rPr>
          <w:rFonts w:ascii="Times New Roman" w:cs="Times New Roman" w:eastAsia="Times New Roman" w:hAnsi="Times New Roman"/>
          <w:sz w:val="17"/>
          <w:szCs w:val="17"/>
          <w:color w:val="auto"/>
        </w:rPr>
        <w:t>The Company issues various forms of stock-based compensation, which includes stock options, restricted stock, restricted stock units and deferred stock units, and has an employee stock purchase plan (collectively referred to as "stock awards"). The Company’s stock awards are classified as equity and the fair value is determined at the time of grant, unless the number of shares to be granted is unknown. Stock awards that are settleable in shares based upon a future determinable stock price are classified as liabilities until the price is established and the resulting number of shares are known, at which time the stock awards are re-classified to equity. For liability-classified awards, the fair value is determined each reporting period beginning at the grant date until final vesting.</w:t>
      </w:r>
    </w:p>
    <w:p>
      <w:pPr>
        <w:spacing w:after="0" w:line="195"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The Company has selected the Black-Scholes option-pricing model to determine the fair value of its stock options. For stock awards with market-based vesting conditions, the Company uses a Monte Carlo simulation to determine the fair value of the award. For stock awards that contain only a service-based vesting feature, the Company recognizes compensation cost on a straight-line basis over the award's vesting period. For awards with a performance-based vesting condition feature, the Company recognizes compensation cost on a graded-vesting basis over the award's expected vesting period, commencing when achievement of the performance condition is deemed probable. In addition, for awards that vest and become exercisable only upon achievement of specified performance conditions, the Company makes judgments and estimates each quarter about the probability that such performance conditions will be met or achieved.</w:t>
      </w:r>
    </w:p>
    <w:p>
      <w:pPr>
        <w:spacing w:after="0" w:line="213" w:lineRule="exact"/>
        <w:rPr>
          <w:sz w:val="20"/>
          <w:szCs w:val="20"/>
          <w:color w:val="auto"/>
        </w:rPr>
      </w:pPr>
    </w:p>
    <w:p>
      <w:pPr>
        <w:ind w:right="500" w:firstLine="318"/>
        <w:spacing w:after="0" w:line="259" w:lineRule="auto"/>
        <w:rPr>
          <w:sz w:val="20"/>
          <w:szCs w:val="20"/>
          <w:color w:val="auto"/>
        </w:rPr>
      </w:pPr>
      <w:r>
        <w:rPr>
          <w:rFonts w:ascii="Times New Roman" w:cs="Times New Roman" w:eastAsia="Times New Roman" w:hAnsi="Times New Roman"/>
          <w:sz w:val="18"/>
          <w:szCs w:val="18"/>
          <w:color w:val="auto"/>
        </w:rPr>
        <w:t>The Company excludes from stock-based compensation the fair value of stock awards it estimates will be forfeited. Forfeitures are estimated using historical forfeiture rates, adjusted for any non-recurring one-time events, and are revised in subsequent periods if actual forfeitures differ from those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and Forward Currency Contracts</w:t>
      </w:r>
    </w:p>
    <w:p>
      <w:pPr>
        <w:spacing w:after="0" w:line="246" w:lineRule="exact"/>
        <w:rPr>
          <w:sz w:val="20"/>
          <w:szCs w:val="20"/>
          <w:color w:val="auto"/>
        </w:rPr>
      </w:pPr>
    </w:p>
    <w:p>
      <w:pPr>
        <w:ind w:right="380" w:firstLine="318"/>
        <w:spacing w:after="0" w:line="255" w:lineRule="auto"/>
        <w:rPr>
          <w:sz w:val="20"/>
          <w:szCs w:val="20"/>
          <w:color w:val="auto"/>
        </w:rPr>
      </w:pPr>
      <w:r>
        <w:rPr>
          <w:rFonts w:ascii="Times New Roman" w:cs="Times New Roman" w:eastAsia="Times New Roman" w:hAnsi="Times New Roman"/>
          <w:sz w:val="18"/>
          <w:szCs w:val="18"/>
          <w:color w:val="auto"/>
        </w:rPr>
        <w:t>The assets and liabilities of the Company's subsidiaries are translated at the applicable exchange rate as of the balance sheet date, and revenue and expenses are translated at an average rate over the period. Resulting currency translation adjustments are recorded as a component of accumulated other comprehensive loss, a separate component of stockholders’ equity. Gains and losses on inter-company and other non-functional currency transactions are recorded in other (expense) income, net.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enters into short-term foreign currency forward contracts to offset foreign exchange gains and losses generated by the re-measurement of certain assets and liabilities recorded in non-functional currencies. Changes in the fair value of these derivatives, as well as re-measurement gains and losses, are recognized in current earnings in other income (expense), net. As of December 31, 2024 and 2023, the fair value of the forward currency contracts and the underlying gains and losses for the years ended December 31, 2024, 2023 and 2022 were immaterial.</w:t>
      </w:r>
    </w:p>
    <w:p>
      <w:pPr>
        <w:spacing w:after="0" w:line="20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Company's foreign currency forward contracts may be exposed to credit risk to the extent that its counterparties are unable to meet the terms of the agreements. The Company seeks to minimize counterparty credit (or repayment) risk by entering into transactions only with major financial institutions of investment grade credit rating.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The Company's provision for income taxes is comprised of a current and a deferred portion. The current income tax provision is calculated as the estimated taxes payable or refundable on tax returns for the current year. The deferred income tax provision is calculated as the estimated future tax effects attributable to temporary differences and carryforwards using expected tax rates in effect in the years during which the differences are expected to reverse or the carryforwards are expected to be realized.</w:t>
      </w:r>
    </w:p>
    <w:p>
      <w:pPr>
        <w:spacing w:after="0" w:line="207" w:lineRule="exact"/>
        <w:rPr>
          <w:sz w:val="20"/>
          <w:szCs w:val="20"/>
          <w:color w:val="auto"/>
        </w:rPr>
      </w:pPr>
    </w:p>
    <w:p>
      <w:pPr>
        <w:ind w:right="220" w:firstLine="173"/>
        <w:spacing w:after="0" w:line="259" w:lineRule="auto"/>
        <w:rPr>
          <w:sz w:val="20"/>
          <w:szCs w:val="20"/>
          <w:color w:val="auto"/>
        </w:rPr>
      </w:pPr>
      <w:r>
        <w:rPr>
          <w:rFonts w:ascii="Times New Roman" w:cs="Times New Roman" w:eastAsia="Times New Roman" w:hAnsi="Times New Roman"/>
          <w:sz w:val="18"/>
          <w:szCs w:val="18"/>
          <w:color w:val="auto"/>
        </w:rPr>
        <w:t>The Company currently has net deferred tax assets consisting of net operating loss (“NOL”) carryforwards, tax credit carryforwards and deductible temporary differences. Management periodically weighs the positive and negative evidence to determine if it is more-likely-than-not that some or all of the deferred tax assets will be realized.</w:t>
      </w:r>
    </w:p>
    <w:p>
      <w:pPr>
        <w:spacing w:after="0" w:line="204" w:lineRule="exact"/>
        <w:rPr>
          <w:sz w:val="20"/>
          <w:szCs w:val="20"/>
          <w:color w:val="auto"/>
        </w:rPr>
      </w:pPr>
    </w:p>
    <w:p>
      <w:pPr>
        <w:ind w:right="80" w:firstLine="173"/>
        <w:spacing w:after="0" w:line="274" w:lineRule="auto"/>
        <w:rPr>
          <w:sz w:val="20"/>
          <w:szCs w:val="20"/>
          <w:color w:val="auto"/>
        </w:rPr>
      </w:pPr>
      <w:r>
        <w:rPr>
          <w:rFonts w:ascii="Times New Roman" w:cs="Times New Roman" w:eastAsia="Times New Roman" w:hAnsi="Times New Roman"/>
          <w:sz w:val="17"/>
          <w:szCs w:val="17"/>
          <w:color w:val="auto"/>
        </w:rPr>
        <w:t>The Company has recorded certain tax reserves to address potential exposures involving its income tax positions. These potential tax liabilities result from the varying application of statutes, rules, regulations and interpretations by different taxing jurisdictions. The Company's estimate of the value of its tax reserves contains assumptions based on past experiences and judgments about the interpretation of statutes, rules and regulations by taxing jurisdictions. It is possible that the costs of the ultimate tax liability or benefit from these matters may be more or less than the amount the Company estimated.</w:t>
      </w:r>
    </w:p>
    <w:p>
      <w:pPr>
        <w:spacing w:after="0" w:line="194" w:lineRule="exact"/>
        <w:rPr>
          <w:sz w:val="20"/>
          <w:szCs w:val="20"/>
          <w:color w:val="auto"/>
        </w:rPr>
      </w:pPr>
    </w:p>
    <w:p>
      <w:pPr>
        <w:ind w:right="240" w:firstLine="177"/>
        <w:spacing w:after="0" w:line="255" w:lineRule="auto"/>
        <w:rPr>
          <w:sz w:val="20"/>
          <w:szCs w:val="20"/>
          <w:color w:val="auto"/>
        </w:rPr>
      </w:pPr>
      <w:r>
        <w:rPr>
          <w:rFonts w:ascii="Times New Roman" w:cs="Times New Roman" w:eastAsia="Times New Roman" w:hAnsi="Times New Roman"/>
          <w:sz w:val="18"/>
          <w:szCs w:val="18"/>
          <w:color w:val="auto"/>
        </w:rPr>
        <w:t>Uncertainty in income taxes is recognized in the Company's consolidated financial statements using a two-step process. First, the tax position must be evaluated to determine the likelihood that it will be sustained upon external examination. If the tax position is deemed more-likely-than-not to be sustained based on technical merit,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46"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Effective January 1, 2022, the Company adopted guidance issued by the Financial Accounting Standards Board ("FASB") associated with accounting for convertible instruments and contracts in an entity’s own equity on a modified retrospective basis. Prior to the adoption of this guidance, the Company separated its convertible senior notes into a liability and an equity component. The equity portion was eliminated. The net effect of adoption was recorded as an increase of $140.0 million to retained earnings as of January 1, 2022.</w:t>
      </w:r>
    </w:p>
    <w:p>
      <w:pPr>
        <w:spacing w:after="0" w:line="1" w:lineRule="exact"/>
        <w:rPr>
          <w:sz w:val="20"/>
          <w:szCs w:val="20"/>
          <w:color w:val="auto"/>
        </w:rPr>
      </w:pPr>
    </w:p>
    <w:p>
      <w:pPr>
        <w:ind w:right="340" w:firstLine="318"/>
        <w:spacing w:after="0" w:line="248" w:lineRule="auto"/>
        <w:rPr>
          <w:sz w:val="20"/>
          <w:szCs w:val="20"/>
          <w:color w:val="auto"/>
        </w:rPr>
      </w:pPr>
      <w:r>
        <w:rPr>
          <w:rFonts w:ascii="Times New Roman" w:cs="Times New Roman" w:eastAsia="Times New Roman" w:hAnsi="Times New Roman"/>
          <w:sz w:val="18"/>
          <w:szCs w:val="18"/>
          <w:color w:val="auto"/>
        </w:rPr>
        <w:t>With the elimination of the debt discount created by the equity component, amortization of the debt discount to interest expense was eliminated. Additionally, the guidance eliminated the application of the treasury stock method and required the application of the if-converted method for convertible instruments that can be settled in whole or in part with equity, when calculating diluted earnings per share.</w:t>
      </w:r>
    </w:p>
    <w:p>
      <w:pPr>
        <w:spacing w:after="0" w:line="213"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For the annual period ending December 31, 2024, the Company adopted guidance issued by the FASB to improve reportable segment disclosure requirements, primarily through enhanced disclosures about significant segment expense and application of all segment disclosure requirements to entities with a single reportable segment, on a retrospective basis. Other than additional required disclosures, adoption of the standard did not have an impact on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46"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guidance to enhance income statement disclosures through additional disclosures of specified information about certain costs and expenses. This guidance will be effective for the Company's annual period ending December 31, 2027 and interim periods beginning on January 1, 2028, and is to be applied prospectively with the option to adopt retrospectively. The Company is evaluating the impact the update will have on its disclosures.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to improve income tax disclosures, primarily through enhanced disclosures for the rate reconciliation and income taxes paid, in addition to the modification or elimination of other disclosures. This guidance will be effective for the Company's annual period ending December 31, 2025 and is to be applied prospectively with the option to adopt retrospectively. The Company is evaluating the impact the update will have on its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and Fair Value Measurements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Available-for-sale marketable securities held as of December 31, 2024 and 2023 were as follows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color w:val="auto"/>
                <w:w w:val="98"/>
              </w:rPr>
              <w:t>Classification on Balance Sheet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Aggregate</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color w:val="auto"/>
                <w:w w:val="97"/>
              </w:rPr>
              <w:t>Short-Term</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52"/>
              <w:spacing w:after="0" w:line="165" w:lineRule="exact"/>
              <w:rPr>
                <w:sz w:val="20"/>
                <w:szCs w:val="20"/>
                <w:color w:val="auto"/>
              </w:rPr>
            </w:pPr>
            <w:r>
              <w:rPr>
                <w:rFonts w:ascii="Times New Roman" w:cs="Times New Roman" w:eastAsia="Times New Roman" w:hAnsi="Times New Roman"/>
                <w:sz w:val="18"/>
                <w:szCs w:val="18"/>
                <w:color w:val="auto"/>
                <w:w w:val="96"/>
              </w:rPr>
              <w:t>Long-Term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color w:val="auto"/>
                <w:w w:val="97"/>
              </w:rPr>
              <w:t>Marketable</w:t>
            </w:r>
          </w:p>
        </w:tc>
        <w:tc>
          <w:tcPr>
            <w:tcW w:w="140" w:type="dxa"/>
            <w:vAlign w:val="bottom"/>
          </w:tcPr>
          <w:p>
            <w:pPr>
              <w:spacing w:after="0"/>
              <w:rPr>
                <w:sz w:val="14"/>
                <w:szCs w:val="14"/>
                <w:color w:val="auto"/>
              </w:rPr>
            </w:pPr>
          </w:p>
        </w:tc>
        <w:tc>
          <w:tcPr>
            <w:tcW w:w="1060" w:type="dxa"/>
            <w:vAlign w:val="bottom"/>
          </w:tcPr>
          <w:p>
            <w:pPr>
              <w:jc w:val="center"/>
              <w:ind w:right="52"/>
              <w:spacing w:after="0" w:line="172" w:lineRule="exact"/>
              <w:rPr>
                <w:sz w:val="20"/>
                <w:szCs w:val="20"/>
                <w:color w:val="auto"/>
              </w:rPr>
            </w:pPr>
            <w:r>
              <w:rPr>
                <w:rFonts w:ascii="Times New Roman" w:cs="Times New Roman" w:eastAsia="Times New Roman" w:hAnsi="Times New Roman"/>
                <w:sz w:val="18"/>
                <w:szCs w:val="18"/>
                <w:color w:val="auto"/>
                <w:w w:val="97"/>
              </w:rPr>
              <w:t>Marketable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As of December 31, 2024</w:t>
            </w:r>
          </w:p>
        </w:tc>
        <w:tc>
          <w:tcPr>
            <w:tcW w:w="128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18"/>
                <w:szCs w:val="18"/>
                <w:color w:val="auto"/>
              </w:rPr>
              <w:t>Amortized Cost</w:t>
            </w:r>
          </w:p>
        </w:tc>
        <w:tc>
          <w:tcPr>
            <w:tcW w:w="260" w:type="dxa"/>
            <w:vAlign w:val="bottom"/>
          </w:tcPr>
          <w:p>
            <w:pPr>
              <w:spacing w:after="0"/>
              <w:rPr>
                <w:sz w:val="17"/>
                <w:szCs w:val="17"/>
                <w:color w:val="auto"/>
              </w:rPr>
            </w:pPr>
          </w:p>
        </w:tc>
        <w:tc>
          <w:tcPr>
            <w:tcW w:w="1040" w:type="dxa"/>
            <w:vAlign w:val="bottom"/>
            <w:gridSpan w:val="2"/>
          </w:tcPr>
          <w:p>
            <w:pPr>
              <w:ind w:left="140"/>
              <w:spacing w:after="0" w:line="199" w:lineRule="exact"/>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17"/>
                <w:szCs w:val="17"/>
                <w:color w:val="auto"/>
              </w:rPr>
            </w:pPr>
          </w:p>
        </w:tc>
        <w:tc>
          <w:tcPr>
            <w:tcW w:w="1080" w:type="dxa"/>
            <w:vAlign w:val="bottom"/>
            <w:gridSpan w:val="2"/>
          </w:tcPr>
          <w:p>
            <w:pPr>
              <w:ind w:left="140"/>
              <w:spacing w:after="0" w:line="199" w:lineRule="exact"/>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17"/>
                <w:szCs w:val="17"/>
                <w:color w:val="auto"/>
              </w:rPr>
            </w:pPr>
          </w:p>
        </w:tc>
        <w:tc>
          <w:tcPr>
            <w:tcW w:w="1140" w:type="dxa"/>
            <w:vAlign w:val="bottom"/>
            <w:gridSpan w:val="2"/>
          </w:tcPr>
          <w:p>
            <w:pPr>
              <w:ind w:left="80"/>
              <w:spacing w:after="0" w:line="199" w:lineRule="exact"/>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line="199" w:lineRule="exact"/>
              <w:rPr>
                <w:sz w:val="20"/>
                <w:szCs w:val="20"/>
                <w:color w:val="auto"/>
              </w:rPr>
            </w:pPr>
            <w:r>
              <w:rPr>
                <w:rFonts w:ascii="Times New Roman" w:cs="Times New Roman" w:eastAsia="Times New Roman" w:hAnsi="Times New Roman"/>
                <w:sz w:val="18"/>
                <w:szCs w:val="18"/>
                <w:color w:val="auto"/>
                <w:w w:val="98"/>
              </w:rPr>
              <w:t>Securities</w:t>
            </w:r>
          </w:p>
        </w:tc>
        <w:tc>
          <w:tcPr>
            <w:tcW w:w="140" w:type="dxa"/>
            <w:vAlign w:val="bottom"/>
          </w:tcPr>
          <w:p>
            <w:pPr>
              <w:spacing w:after="0"/>
              <w:rPr>
                <w:sz w:val="17"/>
                <w:szCs w:val="17"/>
                <w:color w:val="auto"/>
              </w:rPr>
            </w:pPr>
          </w:p>
        </w:tc>
        <w:tc>
          <w:tcPr>
            <w:tcW w:w="106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5"/>
              </w:rPr>
              <w:t>Securities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196,177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auto"/>
              </w:rPr>
              <w:t>As of December 31, 2023</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1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1,054,233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355,271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Company holds money market funds and mutual funds, which are classified as equity securities. These securities are not included in the available-for-sale securities table above, but are included in marketable securities in the consolidated balance sheet.</w:t>
      </w:r>
    </w:p>
    <w:p>
      <w:pPr>
        <w:spacing w:after="0" w:line="190"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Unrealized gains and unrealized losses on investments classified as available-for-sale are included within accumulated other comprehensive loss in the consolidated balance sheets. Upon realization, those amounts are reclassified from accumulated other comprehensive loss to interest and marketable securities income, net in the consolidated statements of income. As of December 31, 2024, the Company held for investment corporate bonds with a fair value of $14.4 million, which are classified as available-for-sale marketable securities and have been in a continuous unrealized loss position for more than 12 months. The unrealized losses related to these securities were insignificant and are included in accumulated other comprehensive loss as of December 31, 2024. The unrealized losses are attributable to changes in interest rates. Based on the evaluation of available evidence, the Company does not believe any portion of the unrealized loss is due to credit losses.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6"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The fair value measurements within the fair value hierarchy of the Company’s financial assets as of December 31, 2024 and 2023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color w:val="auto"/>
                <w:w w:val="97"/>
              </w:rPr>
              <w:t>Fair Value Measurements at Reporting Date</w:t>
            </w:r>
          </w:p>
        </w:tc>
      </w:tr>
      <w:tr>
        <w:trPr>
          <w:trHeight w:val="235"/>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Using</w:t>
            </w:r>
          </w:p>
        </w:tc>
        <w:tc>
          <w:tcPr>
            <w:tcW w:w="1300" w:type="dxa"/>
            <w:vAlign w:val="bottom"/>
            <w:tcBorders>
              <w:bottom w:val="single" w:sz="8" w:color="auto"/>
            </w:tcBorders>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tcPr>
          <w:p>
            <w:pPr>
              <w:spacing w:after="0"/>
              <w:rPr>
                <w:sz w:val="21"/>
                <w:szCs w:val="21"/>
                <w:color w:val="auto"/>
              </w:rPr>
            </w:pP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Pr>
          <w:p>
            <w:pPr>
              <w:spacing w:after="0"/>
              <w:rPr>
                <w:sz w:val="21"/>
                <w:szCs w:val="21"/>
                <w:color w:val="auto"/>
              </w:rPr>
            </w:pPr>
          </w:p>
        </w:tc>
        <w:tc>
          <w:tcPr>
            <w:tcW w:w="13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Level 2</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6040" w:type="dxa"/>
            <w:vAlign w:val="bottom"/>
            <w:tcBorders>
              <w:top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As of December 31, 2024</w:t>
            </w: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40"/>
        </w:trPr>
        <w:tc>
          <w:tcPr>
            <w:tcW w:w="20" w:type="dxa"/>
            <w:vAlign w:val="bottom"/>
            <w:shd w:val="clear" w:color="auto" w:fill="CCEEFF"/>
          </w:tcPr>
          <w:p>
            <w:pPr>
              <w:spacing w:after="0"/>
              <w:rPr>
                <w:sz w:val="3"/>
                <w:szCs w:val="3"/>
                <w:color w:val="auto"/>
              </w:rPr>
            </w:pPr>
          </w:p>
        </w:tc>
        <w:tc>
          <w:tcPr>
            <w:tcW w:w="1820" w:type="dxa"/>
            <w:vAlign w:val="bottom"/>
            <w:shd w:val="clear" w:color="auto" w:fill="000000"/>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Cash Equivalents and Marketable Securities: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64,202</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1,004,977</w:t>
            </w:r>
          </w:p>
        </w:tc>
      </w:tr>
      <w:tr>
        <w:trPr>
          <w:trHeight w:val="225"/>
        </w:trPr>
        <w:tc>
          <w:tcPr>
            <w:tcW w:w="20" w:type="dxa"/>
            <w:vAlign w:val="bottom"/>
          </w:tcPr>
          <w:p>
            <w:pPr>
              <w:spacing w:after="0"/>
              <w:rPr>
                <w:sz w:val="19"/>
                <w:szCs w:val="19"/>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304,347</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1,373,526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604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auto"/>
              </w:rPr>
              <w:t>As of December 31, 2023</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Equivalents and Marketable Securities: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177,240</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r>
      <w:tr>
        <w:trPr>
          <w:trHeight w:val="225"/>
        </w:trPr>
        <w:tc>
          <w:tcPr>
            <w:tcW w:w="20" w:type="dxa"/>
            <w:vAlign w:val="bottom"/>
          </w:tcPr>
          <w:p>
            <w:pPr>
              <w:spacing w:after="0"/>
              <w:rPr>
                <w:sz w:val="19"/>
                <w:szCs w:val="19"/>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1,331,208</w:t>
            </w:r>
          </w:p>
        </w:tc>
      </w:tr>
      <w:tr>
        <w:trPr>
          <w:trHeight w:val="225"/>
        </w:trPr>
        <w:tc>
          <w:tcPr>
            <w:tcW w:w="20" w:type="dxa"/>
            <w:vAlign w:val="bottom"/>
          </w:tcPr>
          <w:p>
            <w:pPr>
              <w:spacing w:after="0"/>
              <w:rPr>
                <w:sz w:val="19"/>
                <w:szCs w:val="19"/>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429,640</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2,006,944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1,806,762</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320"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2024 and 2023, the fair value of the Company's financial assets were determined utilizing a Level 1 or Level 2 valuation. Level 1 valuations are based upon the market prices for such investments that are readily available in active markets and Level 2 valuations are based upon the available quoted prices for similar assets in active markets (or identical assets in an inactive market). The Company did not have any transfers of assets or liabilities between Level 1 or Level 2 of the fair value measurement hierarchy during the years ended December 31, 2024 and 2023.</w:t>
      </w:r>
    </w:p>
    <w:p>
      <w:pPr>
        <w:spacing w:after="0" w:line="207"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the assumptions market participants would use to estimate the fair value of a financial instrument.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Contractual maturities of the Company’s available-for-sale marketable securities held as of December 31, 2024 and 2023 were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December 31, 2023</w:t>
            </w:r>
          </w:p>
        </w:tc>
        <w:tc>
          <w:tcPr>
            <w:tcW w:w="0" w:type="dxa"/>
            <w:vAlign w:val="bottom"/>
          </w:tcPr>
          <w:p>
            <w:pPr>
              <w:spacing w:after="0"/>
              <w:rPr>
                <w:sz w:val="1"/>
                <w:szCs w:val="1"/>
                <w:color w:val="auto"/>
              </w:rPr>
            </w:pPr>
          </w:p>
        </w:tc>
      </w:tr>
      <w:tr>
        <w:trPr>
          <w:trHeight w:val="218"/>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3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1,069,448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372,014</w:t>
            </w:r>
          </w:p>
        </w:tc>
        <w:tc>
          <w:tcPr>
            <w:tcW w:w="0" w:type="dxa"/>
            <w:vAlign w:val="bottom"/>
          </w:tcPr>
          <w:p>
            <w:pPr>
              <w:spacing w:after="0"/>
              <w:rPr>
                <w:sz w:val="1"/>
                <w:szCs w:val="1"/>
                <w:color w:val="auto"/>
              </w:rPr>
            </w:pPr>
          </w:p>
        </w:tc>
      </w:tr>
      <w:tr>
        <w:trPr>
          <w:trHeight w:val="225"/>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3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1,409,504</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1,781,518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03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9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20" w:type="dxa"/>
            <w:vAlign w:val="bottom"/>
            <w:tcBorders>
              <w:bottom w:val="single" w:sz="8" w:color="9A9A9A"/>
            </w:tcBorders>
          </w:tcPr>
          <w:p>
            <w:pPr>
              <w:spacing w:after="0"/>
              <w:rPr>
                <w:sz w:val="18"/>
                <w:szCs w:val="18"/>
                <w:color w:val="auto"/>
              </w:rPr>
            </w:pPr>
          </w:p>
        </w:tc>
        <w:tc>
          <w:tcPr>
            <w:tcW w:w="39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6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7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0"/>
        </w:trPr>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accounts receivable consisted of the following as of December 31, 2024 and 2023 (in thousands):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29"/>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8"/>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508,928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516,175</w:t>
            </w:r>
          </w:p>
        </w:tc>
      </w:tr>
      <w:tr>
        <w:trPr>
          <w:trHeight w:val="225"/>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211,596</w:t>
            </w:r>
          </w:p>
        </w:tc>
      </w:tr>
      <w:tr>
        <w:trPr>
          <w:trHeight w:val="218"/>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accounts receivable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727,771</w:t>
            </w:r>
          </w:p>
        </w:tc>
      </w:tr>
      <w:tr>
        <w:trPr>
          <w:trHeight w:val="225"/>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Allowances for current expected credit losses and other reserves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4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727,687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724,302</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A summary of activity in the accounts receivable allowance for current expected credit losses and other reserves for the years ended December 31, 2024, 2023 and 2022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8"/>
              </w:rPr>
              <w:t>1,397</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income from operations</w:t>
            </w:r>
          </w:p>
        </w:tc>
        <w:tc>
          <w:tcPr>
            <w:tcW w:w="9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9,292</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Collections from customers previously reserved and 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(4,772)</w:t>
            </w: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3,522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w w:val="98"/>
              </w:rPr>
              <w:t>5,917</w:t>
            </w: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Charges to income from operations primarily represents charges to provision for doubtful accounts for increases in the allowance for current expected credit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 2024 and 2023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8"/>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33,448</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sales and other taxes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40,843</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and related service costs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29,155</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44,383</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26,316</w:t>
            </w: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41,969</w:t>
            </w: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253,827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Costs to Obtain a Contract with a Customer</w:t>
      </w:r>
    </w:p>
    <w:p>
      <w:pPr>
        <w:spacing w:after="0" w:line="246" w:lineRule="exact"/>
        <w:rPr>
          <w:sz w:val="20"/>
          <w:szCs w:val="20"/>
          <w:color w:val="auto"/>
        </w:rPr>
      </w:pPr>
    </w:p>
    <w:p>
      <w:pPr>
        <w:jc w:val="both"/>
        <w:ind w:right="40" w:firstLine="318"/>
        <w:spacing w:after="0" w:line="274" w:lineRule="auto"/>
        <w:rPr>
          <w:sz w:val="20"/>
          <w:szCs w:val="20"/>
          <w:color w:val="auto"/>
        </w:rPr>
      </w:pPr>
      <w:r>
        <w:rPr>
          <w:rFonts w:ascii="Times New Roman" w:cs="Times New Roman" w:eastAsia="Times New Roman" w:hAnsi="Times New Roman"/>
          <w:sz w:val="18"/>
          <w:szCs w:val="18"/>
          <w:color w:val="auto"/>
        </w:rPr>
        <w:t>Deferred costs associated with obtaining customer contracts, specifically commission and incentive payments, as of December 31, 2024 and 2023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1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 included in prepaid expenses and other current assets</w:t>
            </w:r>
          </w:p>
        </w:tc>
        <w:tc>
          <w:tcPr>
            <w:tcW w:w="28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 included in other assets</w:t>
            </w:r>
          </w:p>
        </w:tc>
        <w:tc>
          <w:tcPr>
            <w:tcW w:w="28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costs</w:t>
            </w:r>
          </w:p>
        </w:tc>
        <w:tc>
          <w:tcPr>
            <w:tcW w:w="2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2232"/>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4"/>
        </w:trPr>
        <w:tc>
          <w:tcPr>
            <w:tcW w:w="51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80" w:type="dxa"/>
            <w:vAlign w:val="bottom"/>
            <w:tcBorders>
              <w:bottom w:val="single" w:sz="8" w:color="9A9A9A"/>
            </w:tcBorders>
          </w:tcPr>
          <w:p>
            <w:pPr>
              <w:spacing w:after="0"/>
              <w:rPr>
                <w:sz w:val="18"/>
                <w:szCs w:val="18"/>
                <w:color w:val="auto"/>
              </w:rPr>
            </w:pPr>
          </w:p>
        </w:tc>
        <w:tc>
          <w:tcPr>
            <w:tcW w:w="28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Information related to incremental costs to obtain a contract with a customer for the years ended December 31, 2024, 2023 and 2022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 related to deferred costs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52,691</w:t>
            </w:r>
          </w:p>
        </w:tc>
      </w:tr>
      <w:tr>
        <w:trPr>
          <w:trHeight w:val="231"/>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costs capitalized</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114,238</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70,072</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47,416</w:t>
            </w:r>
          </w:p>
        </w:tc>
      </w:tr>
    </w:tbl>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related to deferred costs is primarily included in sales and marketing expense in the consolidated statements of income.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 2024 and 2023 (in thousands, except years):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Estimated Useful</w:t>
            </w:r>
          </w:p>
        </w:tc>
      </w:tr>
      <w:tr>
        <w:trPr>
          <w:trHeight w:val="17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Life</w:t>
            </w:r>
          </w:p>
        </w:tc>
      </w:tr>
      <w:tr>
        <w:trPr>
          <w:trHeight w:val="238"/>
        </w:trPr>
        <w:tc>
          <w:tcPr>
            <w:tcW w:w="640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(in years)</w:t>
            </w:r>
          </w:p>
        </w:tc>
      </w:tr>
      <w:tr>
        <w:trPr>
          <w:trHeight w:val="218"/>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2,665,002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2,456,470</w:t>
            </w:r>
          </w:p>
        </w:tc>
        <w:tc>
          <w:tcPr>
            <w:tcW w:w="1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1,829,933</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5,153,968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4,706,297</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(3,158,897)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(2,880,353)</w:t>
            </w: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1,825,944</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and capitalized internal-use software for the years ended December 31, 2024, 2023 and 2022 was $556.0 million, $504.0 million and $527.8 million, respectively. During the years ended December 31, 2024, 2023 and 2022, the Company capitalized $105.3 million, $81.8 million and $32.3 million, respectively, of stock-based compensation related to employees who developed and enhanced internal-use software applications.</w:t>
      </w:r>
    </w:p>
    <w:p>
      <w:pPr>
        <w:spacing w:after="0" w:line="20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wrote off $250.6 million and $174.3 million, respectively, of property and equipment, gross, along with the associated accumulated depreciation and amortization. The write-offs were primarily related to computer and networking equipment and internal-use software no longer in use. These assets had been substantially depreciated and amortized. In addition, the Company recorded a restructuring charge of $32.8 million and $13.8 million during the years ended December 31, 2024 and 2023, respectively, related to the impairment of internal-use software and facility-related property and equipment.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Acquired Intangible Assets and Goodwill</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Acquired intangible assets that are subject to amortization consisted of the following as of December 31, 2024 and 2023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7"/>
              </w:rPr>
              <w:t>December 31, 2024</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7"/>
              </w:rPr>
              <w:t>December 31, 2023</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32"/>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7"/>
              </w:rPr>
              <w:t>Accumulated</w:t>
            </w:r>
          </w:p>
        </w:tc>
        <w:tc>
          <w:tcPr>
            <w:tcW w:w="220" w:type="dxa"/>
            <w:vAlign w:val="bottom"/>
          </w:tcPr>
          <w:p>
            <w:pPr>
              <w:spacing w:after="0"/>
              <w:rPr>
                <w:sz w:val="17"/>
                <w:szCs w:val="17"/>
                <w:color w:val="auto"/>
              </w:rPr>
            </w:pPr>
          </w:p>
        </w:tc>
        <w:tc>
          <w:tcPr>
            <w:tcW w:w="1180" w:type="dxa"/>
            <w:vAlign w:val="bottom"/>
            <w:gridSpan w:val="2"/>
          </w:tcPr>
          <w:p>
            <w:pPr>
              <w:jc w:val="center"/>
              <w:ind w:right="320"/>
              <w:spacing w:after="0" w:line="205" w:lineRule="exact"/>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7"/>
                <w:szCs w:val="17"/>
                <w:color w:val="auto"/>
              </w:rPr>
            </w:pPr>
          </w:p>
        </w:tc>
        <w:tc>
          <w:tcPr>
            <w:tcW w:w="1100" w:type="dxa"/>
            <w:vAlign w:val="bottom"/>
          </w:tcPr>
          <w:p>
            <w:pPr>
              <w:jc w:val="center"/>
              <w:ind w:right="132"/>
              <w:spacing w:after="0" w:line="205" w:lineRule="exact"/>
              <w:rPr>
                <w:sz w:val="20"/>
                <w:szCs w:val="20"/>
                <w:color w:val="auto"/>
              </w:rPr>
            </w:pPr>
            <w:r>
              <w:rPr>
                <w:rFonts w:ascii="Times New Roman" w:cs="Times New Roman" w:eastAsia="Times New Roman" w:hAnsi="Times New Roman"/>
                <w:sz w:val="18"/>
                <w:szCs w:val="18"/>
                <w:color w:val="auto"/>
                <w:w w:val="95"/>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7"/>
              </w:rPr>
              <w:t>Accumulated</w:t>
            </w:r>
          </w:p>
        </w:tc>
        <w:tc>
          <w:tcPr>
            <w:tcW w:w="220" w:type="dxa"/>
            <w:vAlign w:val="bottom"/>
          </w:tcPr>
          <w:p>
            <w:pPr>
              <w:spacing w:after="0"/>
              <w:rPr>
                <w:sz w:val="17"/>
                <w:szCs w:val="17"/>
                <w:color w:val="auto"/>
              </w:rPr>
            </w:pPr>
          </w:p>
        </w:tc>
        <w:tc>
          <w:tcPr>
            <w:tcW w:w="1080" w:type="dxa"/>
            <w:vAlign w:val="bottom"/>
          </w:tcPr>
          <w:p>
            <w:pPr>
              <w:jc w:val="center"/>
              <w:ind w:right="132"/>
              <w:spacing w:after="0" w:line="205"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72"/>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color w:val="auto"/>
                <w:w w:val="96"/>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line="172" w:lineRule="exact"/>
              <w:rPr>
                <w:sz w:val="20"/>
                <w:szCs w:val="20"/>
                <w:color w:val="auto"/>
              </w:rPr>
            </w:pPr>
            <w:r>
              <w:rPr>
                <w:rFonts w:ascii="Times New Roman" w:cs="Times New Roman" w:eastAsia="Times New Roman" w:hAnsi="Times New Roman"/>
                <w:sz w:val="18"/>
                <w:szCs w:val="18"/>
                <w:color w:val="auto"/>
                <w:w w:val="96"/>
              </w:rPr>
              <w:t>Carrying</w:t>
            </w:r>
          </w:p>
        </w:tc>
        <w:tc>
          <w:tcPr>
            <w:tcW w:w="220" w:type="dxa"/>
            <w:vAlign w:val="bottom"/>
          </w:tcPr>
          <w:p>
            <w:pPr>
              <w:spacing w:after="0"/>
              <w:rPr>
                <w:sz w:val="14"/>
                <w:szCs w:val="14"/>
                <w:color w:val="auto"/>
              </w:rPr>
            </w:pPr>
          </w:p>
        </w:tc>
        <w:tc>
          <w:tcPr>
            <w:tcW w:w="110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color w:val="auto"/>
                <w:w w:val="96"/>
              </w:rPr>
              <w:t>Carrying</w:t>
            </w: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Amortization</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11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Amortization</w:t>
            </w:r>
          </w:p>
        </w:tc>
        <w:tc>
          <w:tcPr>
            <w:tcW w:w="220" w:type="dxa"/>
            <w:vAlign w:val="bottom"/>
          </w:tcPr>
          <w:p>
            <w:pPr>
              <w:spacing w:after="0"/>
              <w:rPr>
                <w:sz w:val="20"/>
                <w:szCs w:val="20"/>
                <w:color w:val="auto"/>
              </w:rPr>
            </w:pPr>
          </w:p>
        </w:tc>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Amount</w:t>
            </w:r>
          </w:p>
        </w:tc>
        <w:tc>
          <w:tcPr>
            <w:tcW w:w="0" w:type="dxa"/>
            <w:vAlign w:val="bottom"/>
          </w:tcPr>
          <w:p>
            <w:pPr>
              <w:spacing w:after="0"/>
              <w:rPr>
                <w:sz w:val="1"/>
                <w:szCs w:val="1"/>
                <w:color w:val="auto"/>
              </w:rPr>
            </w:pPr>
          </w:p>
        </w:tc>
      </w:tr>
      <w:tr>
        <w:trPr>
          <w:trHeight w:val="21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technologies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157,967</w:t>
            </w:r>
          </w:p>
        </w:tc>
        <w:tc>
          <w:tcPr>
            <w:tcW w:w="0" w:type="dxa"/>
            <w:vAlign w:val="bottom"/>
          </w:tcPr>
          <w:p>
            <w:pPr>
              <w:spacing w:after="0"/>
              <w:rPr>
                <w:sz w:val="1"/>
                <w:szCs w:val="1"/>
                <w:color w:val="auto"/>
              </w:rPr>
            </w:pPr>
          </w:p>
        </w:tc>
      </w:tr>
      <w:tr>
        <w:trPr>
          <w:trHeight w:val="22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Customer-related intangible assets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342,509</w:t>
            </w:r>
          </w:p>
        </w:tc>
        <w:tc>
          <w:tcPr>
            <w:tcW w:w="0" w:type="dxa"/>
            <w:vAlign w:val="bottom"/>
          </w:tcPr>
          <w:p>
            <w:pPr>
              <w:spacing w:after="0"/>
              <w:rPr>
                <w:sz w:val="1"/>
                <w:szCs w:val="1"/>
                <w:color w:val="auto"/>
              </w:rPr>
            </w:pPr>
          </w:p>
        </w:tc>
      </w:tr>
      <w:tr>
        <w:trPr>
          <w:trHeight w:val="225"/>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25"/>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Acquired license rights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536,143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Aggregate expense related to amortization of acquired intangible assets for the years ended December 31, 2024, 2023 and 2022 was $92.1 million, $66.8 million and $65.0 million, respectively. Based on the Company's acquired intangible assets as of December 31, 2024, aggregate expense related to amortization of acquired intangible assets is expected to be $111.5 million, $104.1 million, $89.2 million, $81.9 million and $76.0 million for the years ending December 31, 2025, 2026, 2027, 2028 and 2029, respectively. During 2024, the Company recorded a restructuring charge of $23.7 million related to the impairment of completed technologies and customer-related acquired intangible assets whose values were no longer supported by future cash flows. The impairment primarily related to acquired intangible assets acquired as part of the Neosec, Inc. ("Neosec") acquisition.</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2024 and 2023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2,763,838</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Noname Gate Ltd.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StorageOS, Inc.</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Neosec, Inc.</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66,882</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related to acquisitions completed in prior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3,151,077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2,850,470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9860" w:firstLine="6"/>
        <w:spacing w:after="0" w:line="554" w:lineRule="auto"/>
        <w:tabs>
          <w:tab w:leader="none" w:pos="177"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Asset Acquisitions</w:t>
      </w:r>
    </w:p>
    <w:p>
      <w:pPr>
        <w:spacing w:after="0" w:line="1"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The Company acquired certain customer contracts from Edgio, Inc. ("Edgio"), Lumen Technologies, Inc. ("Lumen") and StackPath, LLC ("StackPath"), and certain of their affiliates. The acquisitions are intended to further strengthen the Company's existing delivery and security businesses by integrating the acquired customers to its platform and offering them the Company’s broader portfolio of services. Substantially all of the purchase price related to these acquisitions has been ascribed to customer-related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412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5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details of the asset acquisitions: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5"/>
              </w:rPr>
              <w:t xml:space="preserve">Purchase Price </w:t>
            </w:r>
            <w:r>
              <w:rPr>
                <w:rFonts w:ascii="Times New Roman" w:cs="Times New Roman" w:eastAsia="Times New Roman" w:hAnsi="Times New Roman"/>
                <w:sz w:val="22"/>
                <w:szCs w:val="22"/>
                <w:color w:val="auto"/>
                <w:w w:val="95"/>
                <w:vertAlign w:val="superscript"/>
              </w:rPr>
              <w:t>(1)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1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Amortization Period</w:t>
            </w:r>
          </w:p>
        </w:tc>
        <w:tc>
          <w:tcPr>
            <w:tcW w:w="0" w:type="dxa"/>
            <w:vAlign w:val="bottom"/>
          </w:tcPr>
          <w:p>
            <w:pPr>
              <w:spacing w:after="0"/>
              <w:rPr>
                <w:sz w:val="1"/>
                <w:szCs w:val="1"/>
                <w:color w:val="auto"/>
              </w:rPr>
            </w:pPr>
          </w:p>
        </w:tc>
      </w:tr>
      <w:tr>
        <w:trPr>
          <w:trHeight w:val="238"/>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 Acquisition</w:t>
            </w: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Date</w:t>
            </w:r>
          </w:p>
        </w:tc>
        <w:tc>
          <w:tcPr>
            <w:tcW w:w="22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 thousands)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0" w:type="dxa"/>
            <w:vAlign w:val="bottom"/>
          </w:tcPr>
          <w:p>
            <w:pPr>
              <w:spacing w:after="0"/>
              <w:rPr>
                <w:sz w:val="1"/>
                <w:szCs w:val="1"/>
                <w:color w:val="auto"/>
              </w:rPr>
            </w:pPr>
          </w:p>
        </w:tc>
      </w:tr>
      <w:tr>
        <w:trPr>
          <w:trHeight w:val="218"/>
        </w:trPr>
        <w:tc>
          <w:tcPr>
            <w:tcW w:w="5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Edgio</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2024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12"/>
              <w:spacing w:after="0" w:line="219" w:lineRule="exact"/>
              <w:rPr>
                <w:sz w:val="20"/>
                <w:szCs w:val="20"/>
                <w:color w:val="auto"/>
              </w:rPr>
            </w:pPr>
            <w:r>
              <w:rPr>
                <w:rFonts w:ascii="Times New Roman" w:cs="Times New Roman" w:eastAsia="Times New Roman" w:hAnsi="Times New Roman"/>
                <w:sz w:val="18"/>
                <w:szCs w:val="18"/>
                <w:color w:val="auto"/>
              </w:rPr>
              <w:t xml:space="preserve">158,247  </w:t>
            </w:r>
            <w:r>
              <w:rPr>
                <w:rFonts w:ascii="Times New Roman" w:cs="Times New Roman" w:eastAsia="Times New Roman" w:hAnsi="Times New Roman"/>
                <w:sz w:val="22"/>
                <w:szCs w:val="22"/>
                <w:color w:val="auto"/>
                <w:vertAlign w:val="superscript"/>
              </w:rPr>
              <w:t>(2)(3)</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Lumen</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October 2023</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79,682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5"/>
        </w:trPr>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StackPath</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2023</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51,211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00" w:hanging="194"/>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capitalized transaction costs and a portion of the transition services agreement costs.</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price is estimated and is subject to adjustment for certain post-closing activities expected to be completed in the first quarter of 2025.</w:t>
      </w:r>
    </w:p>
    <w:p>
      <w:pPr>
        <w:spacing w:after="0" w:line="6"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Company paid the majority of the purchase price in cash to Edgio and expects to pay the remaining consideration, if any, by the end of the first quarter of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246"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Business acquisition-related costs were $7.5 million, $2.7 million and $10.7 million during the years ended December 31, 2024, 2023 and 2022, respectively, and are included in general and administrative expense in the consolidated statements of income. Pro forma results of operations for the acquisitions completed in the years ended December 31, 2024, 2023 and 2022 have not been presented because the effects of the acquisitions, individually and in the aggregate, were not material to the Company's consolidated financial results. Revenue and earnings of the acquired companies since the dates of the acquisitions are included in the Company's consolidated statements of income and are not presented separately because they are not 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Noname Security</w:t>
      </w:r>
    </w:p>
    <w:p>
      <w:pPr>
        <w:spacing w:after="0" w:line="246"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In June 2024, the Company acquired all the outstanding equity interests of Noname Gate Ltd. ("Noname Security") for $452.3 million in cash, subject to post-closing adjustments. Noname Security is intended to expand the Company’s existing application programming interface ("API") security offering by providing more flexible deployment options, extensive vendor integrations and enhanced attack analysis. The Company believes this acquisition will accelerate its ability to meet increasing customer and market demand. As of December 31, 2024, the purchase price allocation is preliminary, pending finalization of net working capital and certain income tax matters.</w:t>
      </w:r>
    </w:p>
    <w:p>
      <w:pPr>
        <w:spacing w:after="0" w:line="212"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The preliminary allocation of the purchase price for Noname Security and fair values of the assets acquired and liabilities assumed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452,319</w:t>
            </w:r>
          </w:p>
        </w:tc>
      </w:tr>
      <w:tr>
        <w:trPr>
          <w:trHeight w:val="252"/>
        </w:trPr>
        <w:tc>
          <w:tcPr>
            <w:tcW w:w="9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the purchase consideration:</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18,253</w:t>
            </w:r>
          </w:p>
        </w:tc>
      </w:tr>
      <w:tr>
        <w:trPr>
          <w:trHeight w:val="225"/>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r>
      <w:tr>
        <w:trPr>
          <w:trHeight w:val="225"/>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25"/>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137,800</w:t>
            </w:r>
          </w:p>
        </w:tc>
      </w:tr>
      <w:tr>
        <w:trPr>
          <w:trHeight w:val="225"/>
        </w:trPr>
        <w:tc>
          <w:tcPr>
            <w:tcW w:w="9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18"/>
        </w:trPr>
        <w:tc>
          <w:tcPr>
            <w:tcW w:w="9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167,544</w:t>
            </w:r>
          </w:p>
        </w:tc>
      </w:tr>
      <w:tr>
        <w:trPr>
          <w:trHeight w:val="218"/>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25"/>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225"/>
        </w:trPr>
        <w:tc>
          <w:tcPr>
            <w:tcW w:w="9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(19,289)</w:t>
            </w:r>
          </w:p>
        </w:tc>
      </w:tr>
      <w:tr>
        <w:trPr>
          <w:trHeight w:val="218"/>
        </w:trPr>
        <w:tc>
          <w:tcPr>
            <w:tcW w:w="9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(27,289)</w:t>
            </w:r>
          </w:p>
        </w:tc>
      </w:tr>
      <w:tr>
        <w:trPr>
          <w:trHeight w:val="218"/>
        </w:trPr>
        <w:tc>
          <w:tcPr>
            <w:tcW w:w="97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Identifiable net assets acquired</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140,255</w:t>
            </w:r>
          </w:p>
        </w:tc>
      </w:tr>
      <w:tr>
        <w:trPr>
          <w:trHeight w:val="21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312,064</w:t>
            </w:r>
          </w:p>
        </w:tc>
      </w:tr>
      <w:tr>
        <w:trPr>
          <w:trHeight w:val="218"/>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452,319</w:t>
            </w:r>
          </w:p>
        </w:tc>
      </w:tr>
      <w:tr>
        <w:trPr>
          <w:trHeight w:val="20"/>
        </w:trPr>
        <w:tc>
          <w:tcPr>
            <w:tcW w:w="9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500" w:firstLine="318"/>
        <w:spacing w:after="0" w:line="274" w:lineRule="auto"/>
        <w:rPr>
          <w:sz w:val="20"/>
          <w:szCs w:val="20"/>
          <w:color w:val="auto"/>
        </w:rPr>
      </w:pPr>
      <w:r>
        <w:rPr>
          <w:rFonts w:ascii="Times New Roman" w:cs="Times New Roman" w:eastAsia="Times New Roman" w:hAnsi="Times New Roman"/>
          <w:sz w:val="18"/>
          <w:szCs w:val="18"/>
          <w:color w:val="auto"/>
        </w:rPr>
        <w:t>The value of the goodwill can be attributed to a number of business factors, including a trained technical and sales workforce, and revenue and cost synergies expected to be realized. The Company expects that $248.8 million of the goodwill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acquisition of Noname Security will be deductible for tax purposes as a result of post-acquisition transactions.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Identified intangible assets acquired and their respective weighted average amortization period were as follows (in thousands, except years):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Gross Carrying</w:t>
            </w: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0" w:type="dxa"/>
            <w:vAlign w:val="bottom"/>
          </w:tcPr>
          <w:p>
            <w:pPr>
              <w:spacing w:after="0"/>
              <w:rPr>
                <w:sz w:val="1"/>
                <w:szCs w:val="1"/>
                <w:color w:val="auto"/>
              </w:rPr>
            </w:pPr>
          </w:p>
        </w:tc>
      </w:tr>
      <w:tr>
        <w:trPr>
          <w:trHeight w:val="172"/>
        </w:trPr>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Amortization Period</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(in years)</w:t>
            </w:r>
          </w:p>
        </w:tc>
        <w:tc>
          <w:tcPr>
            <w:tcW w:w="0" w:type="dxa"/>
            <w:vAlign w:val="bottom"/>
          </w:tcPr>
          <w:p>
            <w:pPr>
              <w:spacing w:after="0"/>
              <w:rPr>
                <w:sz w:val="1"/>
                <w:szCs w:val="1"/>
                <w:color w:val="auto"/>
              </w:rPr>
            </w:pP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132,300</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Customer-related intangible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137,800</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Company applied the multi-period excess earnings method to estimate the fair values of the completed technologies and customer-related acquired intangible assets, and the relief-from-royalty method to estimate the fair values of the trademarks. The Company applied significant judgment in estimating the fair values of the acquired intangible assets, which involved significant estimates and assumptions with respect to forecasted revenue growth rates, forecasted operating margins, the technology obsolescence curve and discount rates. The total weighted average amortization period for the intangible assets acquired from Noname Security is 10.5 years. The intangible assets are amortized using a method that approximates their economic benefit over their estimated useful lives.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Neosec</w:t>
      </w:r>
    </w:p>
    <w:p>
      <w:pPr>
        <w:spacing w:after="0" w:line="246" w:lineRule="exact"/>
        <w:rPr>
          <w:sz w:val="20"/>
          <w:szCs w:val="20"/>
          <w:color w:val="auto"/>
        </w:rPr>
      </w:pPr>
    </w:p>
    <w:p>
      <w:pPr>
        <w:ind w:right="340" w:firstLine="318"/>
        <w:spacing w:after="0" w:line="268" w:lineRule="auto"/>
        <w:rPr>
          <w:sz w:val="20"/>
          <w:szCs w:val="20"/>
          <w:color w:val="auto"/>
        </w:rPr>
      </w:pPr>
      <w:r>
        <w:rPr>
          <w:rFonts w:ascii="Times New Roman" w:cs="Times New Roman" w:eastAsia="Times New Roman" w:hAnsi="Times New Roman"/>
          <w:sz w:val="17"/>
          <w:szCs w:val="17"/>
          <w:color w:val="auto"/>
        </w:rPr>
        <w:t>In May 2023, the Company acquired all the outstanding equity interests of Neosec for $91.4 million in cash. Neosec is an API detection and response platform based on data and behavioral analytics. The acquisition is intended to complement the Company's application and API security portfolio by extending its visibility into the rapidly growing API threat landscape. The Company allocated $66.9 million of the purchase price to goodwill and</w:t>
      </w:r>
    </w:p>
    <w:p>
      <w:pPr>
        <w:spacing w:after="0" w:line="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$19.9 million to identifiable intangible assets, primarily consisting of completed technologies, with a total weighted average amortization period of 9.7 years. The intangible assets are being amortized based upon the pattern in which the economic benefits of the intangible assets are being utilized. The value of the goodwill can be attributed to a number of business factors, including the expected impact from the ability to interface with the Company's platform. The value of goodwill deductible for tax purposes as a result of post-acquisition transactions is $33.8 million. The Company finalized its allocation of the purchase price in the second quarter of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StorageOS</w:t>
      </w:r>
    </w:p>
    <w:p>
      <w:pPr>
        <w:spacing w:after="0" w:line="246" w:lineRule="exact"/>
        <w:rPr>
          <w:sz w:val="20"/>
          <w:szCs w:val="20"/>
          <w:color w:val="auto"/>
        </w:rPr>
      </w:pPr>
    </w:p>
    <w:p>
      <w:pPr>
        <w:ind w:right="40" w:firstLine="318"/>
        <w:spacing w:after="0" w:line="265" w:lineRule="auto"/>
        <w:rPr>
          <w:sz w:val="20"/>
          <w:szCs w:val="20"/>
          <w:color w:val="auto"/>
        </w:rPr>
      </w:pPr>
      <w:r>
        <w:rPr>
          <w:rFonts w:ascii="Times New Roman" w:cs="Times New Roman" w:eastAsia="Times New Roman" w:hAnsi="Times New Roman"/>
          <w:sz w:val="17"/>
          <w:szCs w:val="17"/>
          <w:color w:val="auto"/>
        </w:rPr>
        <w:t>In March 2023, the Company acquired all the outstanding equity interests of StorageOS, Inc. ("StorageOS"), also known as Ondat, a cloud-based storage technology provider for $20.6 million in cash. The acquisition of StorageOS's cloud storage technology and its industry-recognized talent is intended to strengthen the Company's compute offerings. Storage is a key component of any cloud computing offering, and this acquisition is expected to enhance the Company's storage capabilities, allowing the Company to offer a fundamentally different approach to cloud that integrates core and distributed compute sites with a massively scaled edge network. The Company allocated $14.0 million of the purchase price to goodwill and $4.5 million to a completed technology identifiable intangible asset with a total weighted average amortization period of 8.8 years. The intangible asset is being amortized based upon the pattern in which the economic benefit of the intangible asset is being utilized. The value of the goodwill is primarily attributable to synergies related to the integration of StorageOS technology onto the Company's platform as well as a trained technical workforce. All of the goodwill related to the acquisition of StorageOS is deductible for tax purposes as a result of post-acquisition transactions. The Company finalized its allocation of purchase price in the first quarter of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Linode</w:t>
      </w:r>
    </w:p>
    <w:p>
      <w:pPr>
        <w:spacing w:after="0" w:line="246"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In March 2022, the Company acquired all the outstanding equity interests of Linode Limited Liability Company ("Linode") for $898.5 million in cash. Linode is an infrastructure-as-a-service platform provider that allows for developer-friendly cloud computing capabilities. The acquisition is intended to enhance the Company’s computing services by enabling it to create a unique cloud platform to build, run and secure applications from the cloud to the edge. Revenue attributable to Linode in the year of acquisition, included in the Company's consolidated statements of income, for 2022 was $103.5 million. The Company finalized its allocation of the purchase price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8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76"/>
        </w:trPr>
        <w:tc>
          <w:tcPr>
            <w:tcW w:w="9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allocation of the purchase price for Linode was as follows (in thousands):</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89"/>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898,516</w:t>
            </w:r>
          </w:p>
        </w:tc>
      </w:tr>
      <w:tr>
        <w:trPr>
          <w:trHeight w:val="252"/>
        </w:trPr>
        <w:tc>
          <w:tcPr>
            <w:tcW w:w="9720" w:type="dxa"/>
            <w:vAlign w:val="bottom"/>
            <w:gridSpan w:val="2"/>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5"/>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Allocation of the purchase consideration:</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9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26,678</w:t>
            </w:r>
          </w:p>
        </w:tc>
      </w:tr>
      <w:tr>
        <w:trPr>
          <w:trHeight w:val="225"/>
        </w:trPr>
        <w:tc>
          <w:tcPr>
            <w:tcW w:w="9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r>
      <w:tr>
        <w:trPr>
          <w:trHeight w:val="225"/>
        </w:trPr>
        <w:tc>
          <w:tcPr>
            <w:tcW w:w="9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25"/>
        </w:trPr>
        <w:tc>
          <w:tcPr>
            <w:tcW w:w="9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56,268</w:t>
            </w:r>
          </w:p>
        </w:tc>
      </w:tr>
      <w:tr>
        <w:trPr>
          <w:trHeight w:val="225"/>
        </w:trPr>
        <w:tc>
          <w:tcPr>
            <w:tcW w:w="9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5"/>
        </w:trPr>
        <w:tc>
          <w:tcPr>
            <w:tcW w:w="9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196,020</w:t>
            </w:r>
          </w:p>
        </w:tc>
      </w:tr>
      <w:tr>
        <w:trPr>
          <w:trHeight w:val="225"/>
        </w:trPr>
        <w:tc>
          <w:tcPr>
            <w:tcW w:w="9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25"/>
        </w:trPr>
        <w:tc>
          <w:tcPr>
            <w:tcW w:w="9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8"/>
        </w:trPr>
        <w:tc>
          <w:tcPr>
            <w:tcW w:w="9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310,435</w:t>
            </w:r>
          </w:p>
        </w:tc>
      </w:tr>
      <w:tr>
        <w:trPr>
          <w:trHeight w:val="219"/>
        </w:trPr>
        <w:tc>
          <w:tcPr>
            <w:tcW w:w="9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r>
      <w:tr>
        <w:trPr>
          <w:trHeight w:val="225"/>
        </w:trPr>
        <w:tc>
          <w:tcPr>
            <w:tcW w:w="9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5"/>
        </w:trPr>
        <w:tc>
          <w:tcPr>
            <w:tcW w:w="9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w:t>
            </w:r>
          </w:p>
        </w:tc>
      </w:tr>
      <w:tr>
        <w:trPr>
          <w:trHeight w:val="225"/>
        </w:trPr>
        <w:tc>
          <w:tcPr>
            <w:tcW w:w="9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18"/>
        </w:trPr>
        <w:tc>
          <w:tcPr>
            <w:tcW w:w="97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(29,211)</w:t>
            </w:r>
          </w:p>
        </w:tc>
      </w:tr>
      <w:tr>
        <w:trPr>
          <w:trHeight w:val="218"/>
        </w:trPr>
        <w:tc>
          <w:tcPr>
            <w:tcW w:w="9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assets acquired</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281,224</w:t>
            </w:r>
          </w:p>
        </w:tc>
      </w:tr>
      <w:tr>
        <w:trPr>
          <w:trHeight w:val="218"/>
        </w:trPr>
        <w:tc>
          <w:tcPr>
            <w:tcW w:w="9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617,292</w:t>
            </w:r>
          </w:p>
        </w:tc>
      </w:tr>
      <w:tr>
        <w:trPr>
          <w:trHeight w:val="20"/>
        </w:trPr>
        <w:tc>
          <w:tcPr>
            <w:tcW w:w="126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The value of the goodwill can be attributed to a number of business factors, including a trained technical workforce and cost synergies expected to be realized. All of the goodwill related to the acquisition of Linode was deductible for tax purposes as a result of post-acquisition transactions.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Identified intangible assets acquired and their respective weighted average amortization period were as follows (in thousands, except years):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Gross Carrying</w:t>
            </w: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0" w:type="dxa"/>
            <w:vAlign w:val="bottom"/>
          </w:tcPr>
          <w:p>
            <w:pPr>
              <w:spacing w:after="0"/>
              <w:rPr>
                <w:sz w:val="1"/>
                <w:szCs w:val="1"/>
                <w:color w:val="auto"/>
              </w:rPr>
            </w:pPr>
          </w:p>
        </w:tc>
      </w:tr>
      <w:tr>
        <w:trPr>
          <w:trHeight w:val="172"/>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Amortization Period</w:t>
            </w:r>
          </w:p>
        </w:tc>
        <w:tc>
          <w:tcPr>
            <w:tcW w:w="0" w:type="dxa"/>
            <w:vAlign w:val="bottom"/>
          </w:tcPr>
          <w:p>
            <w:pPr>
              <w:spacing w:after="0"/>
              <w:rPr>
                <w:sz w:val="1"/>
                <w:szCs w:val="1"/>
                <w:color w:val="auto"/>
              </w:rPr>
            </w:pPr>
          </w:p>
        </w:tc>
      </w:tr>
      <w:tr>
        <w:trPr>
          <w:trHeight w:val="235"/>
        </w:trPr>
        <w:tc>
          <w:tcPr>
            <w:tcW w:w="76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Customer-related intangible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technologies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license rights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196,020</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right="260" w:firstLine="318"/>
        <w:spacing w:after="0" w:line="250" w:lineRule="auto"/>
        <w:rPr>
          <w:sz w:val="20"/>
          <w:szCs w:val="20"/>
          <w:color w:val="auto"/>
        </w:rPr>
      </w:pPr>
      <w:r>
        <w:rPr>
          <w:rFonts w:ascii="Times New Roman" w:cs="Times New Roman" w:eastAsia="Times New Roman" w:hAnsi="Times New Roman"/>
          <w:sz w:val="18"/>
          <w:szCs w:val="18"/>
          <w:color w:val="auto"/>
        </w:rPr>
        <w:t>The Company applied the relief-from-royalty method to estimate the fair values of the completed technologies and trademarks and the multi-period excess earnings method under the income approach to estimate the fair values of the customer-related acquired intangible assets. The Company applied significant judgment in estimating the fair values of the acquired intangible assets, which involved significant estimates and assumptions with respect to forecasted revenue growth rates, cost of revenue, operating expenses, contributory asset charges and discount rates. The Company used readily available market data to estimate the fair values of the acquired license rights. The total weighted average amortization period for the intangible assets acquired from Linode is 12.2 years. The intangible assets are being amortized based upon the pattern in which the economic benefits of the intangible assets are being utilized.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6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7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1"/>
        </w:trPr>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Accrued expenses consisted of the following as of December 31, 2024 and 2023 (in thousands):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29"/>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9"/>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other related benefits</w:t>
            </w: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143,010</w:t>
            </w: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70,017</w:t>
            </w: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Bandwidth and co-location expenses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78,210</w:t>
            </w:r>
          </w:p>
        </w:tc>
      </w:tr>
      <w:tr>
        <w:trPr>
          <w:trHeight w:val="22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use and other taxes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38,270</w:t>
            </w: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interest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r>
      <w:tr>
        <w:trPr>
          <w:trHeight w:val="225"/>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w:t>
            </w:r>
          </w:p>
        </w:tc>
      </w:tr>
      <w:tr>
        <w:trPr>
          <w:trHeight w:val="24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352,181</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Restructuring</w:t>
      </w:r>
    </w:p>
    <w:p>
      <w:pPr>
        <w:spacing w:after="0" w:line="246"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color w:val="auto"/>
        </w:rPr>
        <w:t>During the third quarter of 2024, management committed to an action to restructure certain parts of the Company with the primary intent of redeploying resources to support the Company's strategic investments ("Q3 2024 Action"). As a result, certain headcount reductions were necessary. Additionally, the Company planned for the end of life of certain solutions which resulted in impairments to capitalized internal-use software, as well as completed technologies and customer-related acquired intangible assets. The Company does not expect to incur material additional charges related to this action.</w:t>
      </w:r>
    </w:p>
    <w:p>
      <w:pPr>
        <w:spacing w:after="0" w:line="194"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During the first quarter of 2023, management committed to an action to restructure certain parts of the Company to enable it to prioritize investments in the fastest growing areas of the business ("Q1 2023 Action"). As a result, certain headcount reductions were necessary. The Company does not anticipate incurring any material additional charges related to this action.</w:t>
      </w:r>
    </w:p>
    <w:p>
      <w:pPr>
        <w:spacing w:after="0" w:line="204"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The Company launched its FlexBase program in May 2022, which is a flexible workplace arrangement that allows employees to choose to work from their home office, a Company office, an approved workspace, or a combination of all three, which is a significant change to the way employees worked prior to the program. As a result, impairments of right-of-use assets and property and equipment were recognized. The Company does not expect to incur any material additional charges related to this action.</w:t>
      </w:r>
    </w:p>
    <w:p>
      <w:pPr>
        <w:spacing w:after="0" w:line="207" w:lineRule="exact"/>
        <w:rPr>
          <w:sz w:val="20"/>
          <w:szCs w:val="20"/>
          <w:color w:val="auto"/>
        </w:rPr>
      </w:pPr>
    </w:p>
    <w:p>
      <w:pPr>
        <w:ind w:right="100" w:firstLine="318"/>
        <w:spacing w:after="0" w:line="282" w:lineRule="auto"/>
        <w:rPr>
          <w:sz w:val="20"/>
          <w:szCs w:val="20"/>
          <w:color w:val="auto"/>
        </w:rPr>
      </w:pPr>
      <w:r>
        <w:rPr>
          <w:rFonts w:ascii="Times New Roman" w:cs="Times New Roman" w:eastAsia="Times New Roman" w:hAnsi="Times New Roman"/>
          <w:sz w:val="17"/>
          <w:szCs w:val="17"/>
          <w:color w:val="auto"/>
        </w:rPr>
        <w:t>As a result of MUFG’s suspension of GO-NET’s operations, the Company recognized a restructuring charge during the year ended December 31, 2022. This charge primarily related to the impairment of certain capitalized internal-use software assets that were no longer used in operations or were unable to generate sufficient future cash flows to support their carrying values. The Company does not anticipate incurring any additional charges related to this action.</w:t>
      </w:r>
    </w:p>
    <w:p>
      <w:pPr>
        <w:spacing w:after="0" w:line="185" w:lineRule="exact"/>
        <w:rPr>
          <w:sz w:val="20"/>
          <w:szCs w:val="20"/>
          <w:color w:val="auto"/>
        </w:rPr>
      </w:pPr>
    </w:p>
    <w:p>
      <w:pPr>
        <w:ind w:right="220" w:firstLine="318"/>
        <w:spacing w:after="0" w:line="282" w:lineRule="auto"/>
        <w:rPr>
          <w:sz w:val="20"/>
          <w:szCs w:val="20"/>
          <w:color w:val="auto"/>
        </w:rPr>
      </w:pPr>
      <w:r>
        <w:rPr>
          <w:rFonts w:ascii="Times New Roman" w:cs="Times New Roman" w:eastAsia="Times New Roman" w:hAnsi="Times New Roman"/>
          <w:sz w:val="17"/>
          <w:szCs w:val="17"/>
          <w:color w:val="auto"/>
        </w:rPr>
        <w:t>At times the Company also recognizes restructuring charges related to completed acquisitions for severance and related expenses paid to redundant employees, fees paid to terminate redundant contracts and impairments of redundant long-lived assets, primarily duplicative facility-related assets, acquired intangible assets and capitalized internal-use software. The Company does not expect to incur material additional charges related to past acquisitions.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restructuring charges during the years ended December 31, 2024, 2023 and 2022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Q3 2024 Action</w:t>
            </w: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Q1 2023 Action</w:t>
            </w:r>
          </w:p>
        </w:tc>
        <w:tc>
          <w:tcPr>
            <w:tcW w:w="1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FlexBase</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2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GO-NET</w:t>
            </w:r>
          </w:p>
        </w:tc>
        <w:tc>
          <w:tcPr>
            <w:tcW w:w="1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related and other</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charge</w:t>
            </w:r>
          </w:p>
        </w:tc>
        <w:tc>
          <w:tcPr>
            <w:tcW w:w="120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r>
      <w:tr>
        <w:trPr>
          <w:trHeight w:val="20"/>
        </w:trPr>
        <w:tc>
          <w:tcPr>
            <w:tcW w:w="5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The changes in the Company's accrual for employee severance and related expenses, included in other current liabilities, for all restructuring actions during the years ended December 31, 2024, 2023 and 2022 were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Acquisitions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0"/>
        </w:trPr>
        <w:tc>
          <w:tcPr>
            <w:tcW w:w="4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8"/>
              </w:rPr>
              <w:t>Related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4720" w:type="dxa"/>
            <w:vAlign w:val="bottom"/>
          </w:tcPr>
          <w:p>
            <w:pPr>
              <w:spacing w:after="0"/>
              <w:rPr>
                <w:sz w:val="20"/>
                <w:szCs w:val="20"/>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Q3 2024 Action</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Q1 2023 Action</w:t>
            </w:r>
          </w:p>
        </w:tc>
        <w:tc>
          <w:tcPr>
            <w:tcW w:w="18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GO-NET</w:t>
            </w:r>
          </w:p>
        </w:tc>
        <w:tc>
          <w:tcPr>
            <w:tcW w:w="14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Other</w:t>
            </w: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25"/>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incurred</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5"/>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disbursements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25"/>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5"/>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incurred</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21,085</w:t>
            </w:r>
          </w:p>
        </w:tc>
      </w:tr>
      <w:tr>
        <w:trPr>
          <w:trHeight w:val="225"/>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disbursements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r>
      <w:tr>
        <w:trPr>
          <w:trHeight w:val="225"/>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5"/>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incurred</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36,807</w:t>
            </w:r>
          </w:p>
        </w:tc>
      </w:tr>
      <w:tr>
        <w:trPr>
          <w:trHeight w:val="225"/>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disbursements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w:t>
            </w:r>
          </w:p>
        </w:tc>
      </w:tr>
      <w:tr>
        <w:trPr>
          <w:trHeight w:val="225"/>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43"/>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48"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The Company has three convertible senior notes ("2029 Notes", "2027 Notes" and "2025 Notes") outstanding with a par value totaling $3,565.0 million (collectively, the "Notes") that are senior unsecured obligations of the Company and bear interest payable semi-annually in arrears. The following table summarizes further details of the Notes: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Principal Amount (in</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8"/>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Issuance Date</w:t>
            </w:r>
          </w:p>
        </w:tc>
        <w:tc>
          <w:tcPr>
            <w:tcW w:w="1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thousands)</w:t>
            </w: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Coupon Interest Rate</w:t>
            </w:r>
          </w:p>
        </w:tc>
        <w:tc>
          <w:tcPr>
            <w:tcW w:w="1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Effective Interest Rate</w:t>
            </w:r>
          </w:p>
        </w:tc>
      </w:tr>
      <w:tr>
        <w:trPr>
          <w:trHeight w:val="219"/>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2023</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15, 2029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1.388 %</w:t>
            </w:r>
          </w:p>
        </w:tc>
      </w:tr>
      <w:tr>
        <w:trPr>
          <w:trHeight w:val="22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0.375 %</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0.539 %</w:t>
            </w:r>
          </w:p>
        </w:tc>
      </w:tr>
      <w:tr>
        <w:trPr>
          <w:trHeight w:val="22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0.125 %</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0.350 %</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 of the Notes</w:t>
      </w:r>
    </w:p>
    <w:p>
      <w:pPr>
        <w:spacing w:after="0" w:line="246"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At their option, holders may exercise the conversion right of the respective Notes at the following specified times and rates to receive the principal amount in cash and receive any amount in excess of the principal amount in cash, shares of the Company’s common stock or a combination of cash and shares of the Company’s common stock, at the Company’s election.</w:t>
      </w:r>
    </w:p>
    <w:p>
      <w:pPr>
        <w:spacing w:after="0" w:line="204" w:lineRule="exact"/>
        <w:rPr>
          <w:sz w:val="20"/>
          <w:szCs w:val="20"/>
          <w:color w:val="auto"/>
        </w:rPr>
      </w:pPr>
    </w:p>
    <w:p>
      <w:pPr>
        <w:ind w:right="920" w:firstLine="318"/>
        <w:spacing w:after="0" w:line="274"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the conversion date, as noted in the table below, under the following circumstances a holder may exercise their conversion right:</w:t>
      </w:r>
    </w:p>
    <w:p>
      <w:pPr>
        <w:spacing w:after="0" w:line="190" w:lineRule="exact"/>
        <w:rPr>
          <w:sz w:val="20"/>
          <w:szCs w:val="20"/>
          <w:color w:val="auto"/>
        </w:rPr>
      </w:pPr>
    </w:p>
    <w:p>
      <w:pPr>
        <w:jc w:val="both"/>
        <w:ind w:left="640" w:right="200" w:hanging="316"/>
        <w:spacing w:after="0" w:line="274"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calendar quarter commencing after the calendar quarter ended December 31, 2023 for the 2029 Notes, December 31, 2019 for the 2027 Notes and June 30, 2018 for the 2025 Notes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193" w:lineRule="exact"/>
        <w:rPr>
          <w:rFonts w:ascii="Times New Roman" w:cs="Times New Roman" w:eastAsia="Times New Roman" w:hAnsi="Times New Roman"/>
          <w:sz w:val="17"/>
          <w:szCs w:val="17"/>
          <w:color w:val="auto"/>
        </w:rPr>
      </w:pPr>
    </w:p>
    <w:p>
      <w:pPr>
        <w:ind w:left="640" w:right="28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respective Notes for each trading day of the measurement period was less than 98% of the product of the last reported sale price of the Company's common stock and the conversion rate on each such trading day; or</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ind w:left="2"/>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 w:right="40" w:firstLine="318"/>
        <w:spacing w:after="0" w:line="274" w:lineRule="auto"/>
        <w:rPr>
          <w:sz w:val="20"/>
          <w:szCs w:val="20"/>
          <w:color w:val="auto"/>
        </w:rPr>
      </w:pPr>
      <w:r>
        <w:rPr>
          <w:rFonts w:ascii="Times New Roman" w:cs="Times New Roman" w:eastAsia="Times New Roman" w:hAnsi="Times New Roman"/>
          <w:sz w:val="18"/>
          <w:szCs w:val="18"/>
          <w:color w:val="auto"/>
        </w:rPr>
        <w:t>On or after the respective conversion date, as noted in the table below, holders may convert all or any portion of their respective Notes at any time prior to the close of business on the second scheduled trading day immediately preceding the maturity date.</w:t>
      </w:r>
    </w:p>
    <w:p>
      <w:pPr>
        <w:spacing w:after="0" w:line="190" w:lineRule="exact"/>
        <w:rPr>
          <w:sz w:val="20"/>
          <w:szCs w:val="20"/>
          <w:color w:val="auto"/>
        </w:rPr>
      </w:pPr>
    </w:p>
    <w:p>
      <w:pPr>
        <w:ind w:left="2" w:right="120" w:firstLine="318"/>
        <w:spacing w:after="0" w:line="259" w:lineRule="auto"/>
        <w:rPr>
          <w:sz w:val="20"/>
          <w:szCs w:val="20"/>
          <w:color w:val="auto"/>
        </w:rPr>
      </w:pPr>
      <w:r>
        <w:rPr>
          <w:rFonts w:ascii="Times New Roman" w:cs="Times New Roman" w:eastAsia="Times New Roman" w:hAnsi="Times New Roman"/>
          <w:sz w:val="18"/>
          <w:szCs w:val="18"/>
          <w:color w:val="auto"/>
        </w:rPr>
        <w:t>If the Company undergoes a fundamental change at any time prior to the maturity date, holders of the Notes will have the right, at their option, to require the Company to repurchase for cash all or any portion of their Notes at a repurchase price equal to 100% of the principal amount of the Notes to be repurchased, plus accrued and unpaid interest up to, but excluding, the fundamental change repurchase date.</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31"/>
        </w:trPr>
        <w:tc>
          <w:tcPr>
            <w:tcW w:w="4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conversion rights of the Notes are as follows: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8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Conversion Date</w:t>
            </w:r>
          </w:p>
        </w:tc>
        <w:tc>
          <w:tcPr>
            <w:tcW w:w="2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Conversion Rate </w:t>
            </w:r>
            <w:r>
              <w:rPr>
                <w:rFonts w:ascii="Times New Roman" w:cs="Times New Roman" w:eastAsia="Times New Roman" w:hAnsi="Times New Roman"/>
                <w:sz w:val="22"/>
                <w:szCs w:val="22"/>
                <w:color w:val="auto"/>
                <w:vertAlign w:val="superscript"/>
              </w:rPr>
              <w:t>(1)</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 xml:space="preserve">Conversion Price per Share </w:t>
            </w:r>
            <w:r>
              <w:rPr>
                <w:rFonts w:ascii="Times New Roman" w:cs="Times New Roman" w:eastAsia="Times New Roman" w:hAnsi="Times New Roman"/>
                <w:sz w:val="22"/>
                <w:szCs w:val="22"/>
                <w:color w:val="auto"/>
                <w:w w:val="96"/>
                <w:vertAlign w:val="superscript"/>
              </w:rPr>
              <w:t>(1)</w:t>
            </w:r>
          </w:p>
        </w:tc>
      </w:tr>
      <w:tr>
        <w:trPr>
          <w:trHeight w:val="218"/>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15, 2028</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r>
      <w:tr>
        <w:trPr>
          <w:trHeight w:val="22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 2027</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8.6073</w:t>
            </w:r>
          </w:p>
        </w:tc>
        <w:tc>
          <w:tcPr>
            <w:tcW w:w="10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r>
      <w:tr>
        <w:trPr>
          <w:trHeight w:val="225"/>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2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January 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r>
    </w:tbl>
    <w:p>
      <w:pPr>
        <w:spacing w:after="0" w:line="309" w:lineRule="exact"/>
        <w:rPr>
          <w:sz w:val="20"/>
          <w:szCs w:val="20"/>
          <w:color w:val="auto"/>
        </w:rPr>
      </w:pPr>
    </w:p>
    <w:p>
      <w:pPr>
        <w:ind w:left="242" w:right="220" w:hanging="234"/>
        <w:spacing w:after="0" w:line="271" w:lineRule="auto"/>
        <w:tabs>
          <w:tab w:leader="none" w:pos="20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rate for the Notes is established as a number of shares of the Company's commons stock per $1,000 principal amount of the Notes, that is equivalent to the conversion price per share, subject to adjustments in certain events. Upon the occurrence of certain corporate events the Company will increase the conversion rate for a holder that elects to convert its Notes.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Components and Fair Value of the Notes</w:t>
      </w:r>
    </w:p>
    <w:p>
      <w:pPr>
        <w:spacing w:after="0" w:line="246"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8"/>
          <w:szCs w:val="18"/>
          <w:color w:val="auto"/>
        </w:rPr>
        <w:t>The Notes consisted of the following components as of December 31, 2024 and 2023 (in thousands):</w:t>
      </w:r>
    </w:p>
    <w:p>
      <w:pPr>
        <w:spacing w:after="0" w:line="283"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2029 Notes</w:t>
            </w: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2027 Notes</w:t>
            </w: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2025 Notes</w:t>
            </w:r>
          </w:p>
        </w:tc>
        <w:tc>
          <w:tcPr>
            <w:tcW w:w="34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Total</w:t>
            </w:r>
          </w:p>
        </w:tc>
      </w:tr>
      <w:tr>
        <w:trPr>
          <w:trHeight w:val="185"/>
        </w:trPr>
        <w:tc>
          <w:tcPr>
            <w:tcW w:w="2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As of December 31, 2024</w:t>
            </w:r>
          </w:p>
        </w:tc>
        <w:tc>
          <w:tcPr>
            <w:tcW w:w="2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w:t>
            </w:r>
          </w:p>
        </w:tc>
        <w:tc>
          <w:tcPr>
            <w:tcW w:w="3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1,265,000</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3,565,000</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issuance costs, net of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(19,189)</w:t>
            </w:r>
          </w:p>
        </w:tc>
      </w:tr>
      <w:tr>
        <w:trPr>
          <w:trHeight w:val="218"/>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1,251,646</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1,145,049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1,149,116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3,545,811</w:t>
            </w:r>
          </w:p>
        </w:tc>
      </w:tr>
      <w:tr>
        <w:trPr>
          <w:trHeight w:val="252"/>
        </w:trPr>
        <w:tc>
          <w:tcPr>
            <w:tcW w:w="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84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 xml:space="preserve">Estimated fair value </w:t>
            </w:r>
            <w:r>
              <w:rPr>
                <w:rFonts w:ascii="Times New Roman" w:cs="Times New Roman" w:eastAsia="Times New Roman" w:hAnsi="Times New Roman"/>
                <w:sz w:val="22"/>
                <w:szCs w:val="22"/>
                <w:color w:val="auto"/>
                <w:vertAlign w:val="superscript"/>
              </w:rPr>
              <w:t>(1)</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1,239,068</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1,155,865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1,219,345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3,614,278</w:t>
            </w:r>
          </w:p>
        </w:tc>
      </w:tr>
      <w:tr>
        <w:trPr>
          <w:trHeight w:val="252"/>
        </w:trPr>
        <w:tc>
          <w:tcPr>
            <w:tcW w:w="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484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auto"/>
              </w:rPr>
              <w:t>As of December 31, 2023</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5"/>
        </w:trPr>
        <w:tc>
          <w:tcPr>
            <w:tcW w:w="20" w:type="dxa"/>
            <w:vAlign w:val="bottom"/>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3,565,000</w:t>
            </w:r>
          </w:p>
        </w:tc>
      </w:tr>
      <w:tr>
        <w:trPr>
          <w:trHeight w:val="225"/>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issuance costs, net of amortization</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(26,771)</w:t>
            </w:r>
          </w:p>
        </w:tc>
      </w:tr>
      <w:tr>
        <w:trPr>
          <w:trHeight w:val="218"/>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3,538,229</w:t>
            </w:r>
          </w:p>
        </w:tc>
      </w:tr>
      <w:tr>
        <w:trPr>
          <w:trHeight w:val="252"/>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 xml:space="preserve">Estimated fair value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4,133,408</w:t>
            </w:r>
          </w:p>
        </w:tc>
      </w:tr>
    </w:tbl>
    <w:p>
      <w:pPr>
        <w:spacing w:after="0" w:line="309" w:lineRule="exact"/>
        <w:rPr>
          <w:sz w:val="20"/>
          <w:szCs w:val="20"/>
          <w:color w:val="auto"/>
        </w:rPr>
      </w:pPr>
    </w:p>
    <w:p>
      <w:pPr>
        <w:ind w:left="242" w:right="280" w:hanging="242"/>
        <w:spacing w:after="0" w:line="290" w:lineRule="auto"/>
        <w:tabs>
          <w:tab w:leader="none" w:pos="20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were determined based on the quoted prices of the Notes in an inactive market on the last trading day of the reporting period and have been classified as Level 2 within the fair value hierarchy.</w:t>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Note Hedges and Warrants</w:t>
      </w:r>
    </w:p>
    <w:p>
      <w:pPr>
        <w:spacing w:after="0" w:line="246" w:lineRule="exact"/>
        <w:rPr>
          <w:sz w:val="20"/>
          <w:szCs w:val="20"/>
          <w:color w:val="auto"/>
        </w:rPr>
      </w:pPr>
    </w:p>
    <w:p>
      <w:pPr>
        <w:ind w:left="2" w:right="120" w:firstLine="318"/>
        <w:spacing w:after="0" w:line="249" w:lineRule="auto"/>
        <w:rPr>
          <w:sz w:val="20"/>
          <w:szCs w:val="20"/>
          <w:color w:val="auto"/>
        </w:rPr>
      </w:pPr>
      <w:r>
        <w:rPr>
          <w:rFonts w:ascii="Times New Roman" w:cs="Times New Roman" w:eastAsia="Times New Roman" w:hAnsi="Times New Roman"/>
          <w:sz w:val="18"/>
          <w:szCs w:val="18"/>
          <w:color w:val="auto"/>
        </w:rPr>
        <w:t>To minimize the impact of potential dilution upon conversion of the Notes, the Company entered into convertible note hedge transactions with respect to its common stock concurrently with each respective note issuance. The note hedge transactions cover an approximate number of shares of the Company’s common stock at a strike price that corresponds to the conversion prices for the Notes, also subject to adjustment, and are exercisable upon conversion of the Notes. The note hedge transactions expire upon the respective maturity dates of the Notes. The Company determined that the note hedges meet the definition of a derivative and are classified in stockholders’ equity, as the note hedges are indexed to the Company's common stock, and the Company, at its election, may receive cash, shares of the Company's common stock or a combination of cash and shares of the Company's common stock. The Company recorded the purchase of the hedges as a decrease to additional paid-in capital. The Company does not recognize subsequent changes in fair value of the note hedges in its consolidated financial</w:t>
      </w:r>
    </w:p>
    <w:p>
      <w:pPr>
        <w:spacing w:after="0" w:line="200" w:lineRule="exact"/>
        <w:rPr>
          <w:sz w:val="20"/>
          <w:szCs w:val="20"/>
          <w:color w:val="auto"/>
        </w:rPr>
      </w:pPr>
    </w:p>
    <w:p>
      <w:pPr>
        <w:spacing w:after="0" w:line="21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2"/>
          </w:cols>
          <w:pgMar w:left="318"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w:t>
      </w:r>
    </w:p>
    <w:p>
      <w:pPr>
        <w:spacing w:after="0" w:line="244"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Separately, the Company also entered into warrant transactions concurrently with each of the note issuances, whereby the Company sold warrants to acquire, subject to anti-dilution adjustments, shares of the Company’s common stock at a predetermined strike price per share. The convertible note hedge and warrant transactions will generally have the effect of increasing the conversion price of each of the Notes to the respective strike price related to the warrant transactions. The Company determined that the warrants meet the definition of a derivative and are classified in stockholders’ equity, as the warrants are indexed to the Company's common stock, and the Company, at its election, may pay or deliver to holders cash or shares of the Company's common stock. The Company recorded the proceeds from the issuance of the warrants as an increase to additional paid-in capital. The Company does not recognize subsequent changes in fair value of the warrants in its consolidated financial statements. The following table summarizes the main terms impacting the note hedges and warrants (in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2029 Notes</w:t>
            </w:r>
          </w:p>
        </w:tc>
        <w:tc>
          <w:tcPr>
            <w:tcW w:w="2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2027 Notes</w:t>
            </w:r>
          </w:p>
        </w:tc>
        <w:tc>
          <w:tcPr>
            <w:tcW w:w="240" w:type="dxa"/>
            <w:vAlign w:val="bottom"/>
          </w:tcPr>
          <w:p>
            <w:pPr>
              <w:spacing w:after="0"/>
              <w:rPr>
                <w:sz w:val="20"/>
                <w:szCs w:val="20"/>
                <w:color w:val="auto"/>
              </w:rPr>
            </w:pP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2025 Notes</w:t>
            </w:r>
          </w:p>
        </w:tc>
      </w:tr>
      <w:tr>
        <w:trPr>
          <w:trHeight w:val="218"/>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hedge transaction costs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261,740</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covered by note hedge transactions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related to warrant transactions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 per share related to warrant transactions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proceeds from sale of warrants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48"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In November 2022, the Company entered into a $500.0 million five-year, revolving credit agreement (the “2022 Credit Agreement”). Borrowings under the 2022 Credit Agreement may be used to finance working capital needs and for general corporate purposes. The 2022 Credit Agreement provides for an initial $500.0 million in revolving loans. Under specified circumstances, the facility can be increased to up to $1.0 billion in aggregate principal amount. The 2022 Credit Agreement expires on November 22, 2027, and any amounts outstanding thereunder will become due and payable, subject to up to two one-year extensions at the Company's request and with the consent of the lenders party thereto.</w:t>
      </w:r>
    </w:p>
    <w:p>
      <w:pPr>
        <w:spacing w:after="0" w:line="212"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Borrowings under the 2022 Credit Agreement bear interest, at the Company's option, and subject to a credit spread adjustment, at a term benchmark rate plus a spread of 0.75% to 1.125%, a reference rate plus a spread of 0.75% to 1.125%, or a base rate plus a spread of 0.00% to 0.125%, in each case with such spread being determined based on the Company's consolidated leverage ratio specified in the 2022 Credit Agreement. Regardless of what amounts, if any, are outstanding under the 2022 Credit Agreement, the Company is also obligated to pay an ongoing commitment fee on undrawn amounts at a rate of 0.07% to 0.125%, with such rate being based on the Company's consolidated leverage ratio specified in the 2022 Credit Agreement.</w:t>
      </w:r>
    </w:p>
    <w:p>
      <w:pPr>
        <w:spacing w:after="0" w:line="212" w:lineRule="exact"/>
        <w:rPr>
          <w:sz w:val="20"/>
          <w:szCs w:val="20"/>
          <w:color w:val="auto"/>
        </w:rPr>
      </w:pPr>
    </w:p>
    <w:p>
      <w:pPr>
        <w:ind w:right="300" w:firstLine="318"/>
        <w:spacing w:after="0" w:line="268" w:lineRule="auto"/>
        <w:rPr>
          <w:sz w:val="20"/>
          <w:szCs w:val="20"/>
          <w:color w:val="auto"/>
        </w:rPr>
      </w:pPr>
      <w:r>
        <w:rPr>
          <w:rFonts w:ascii="Times New Roman" w:cs="Times New Roman" w:eastAsia="Times New Roman" w:hAnsi="Times New Roman"/>
          <w:sz w:val="17"/>
          <w:szCs w:val="17"/>
          <w:color w:val="auto"/>
        </w:rPr>
        <w:t>The 2022 Credit Agreement contains customary representations and warranties, affirmative and negative covenants and events of default. As of December 31, 2024, the Company was in compliance with all covenants. The negative covenants include restrictions on subsidiary indebtedness, liens and fundamental changes. These covenants are subject to a number of important exceptions and qualifications. The principal financial covenant requires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consolidated leverage ratio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There were no outstanding borrowings under the 2022 Credit Agreement as of December 31, 2024.</w:t>
      </w:r>
    </w:p>
    <w:p>
      <w:pPr>
        <w:spacing w:after="0" w:line="229"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In January 2025, the Company entered into a $150.0 million uncommitted revolving credit agreement (the "2025 Credit Agreement"). Any outstanding borrowings are secured by collateral, consisting primarily of available-for-sale marketable securities. The 2025 Credit Agreement contains customary representations and warranties, affirmative and negative covenants and events of default. Borrowings under the 2025 Credit Agreement may be used to finance working capital needs and for general corporate purposes. The 2025 Credit Agreement does not have an expiration date but is cancellable at any time and any borrowings can be due on demand. Borrowings under the 2025 Credit Agreement will bear a specified interest rate, considering Secured Overnight Financing Rate, and interest period at the time of the confirmed borrowing.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48"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Notes bear interest at fixed rates that are payable semi-annually in arrears on their respective interest payment dates each year. Interest expense, together with ongoing commitment fees under the terms of the Company's credit agreements, included in the consolidated statements of income for the years ended December 31, 2024, 2023 and 2022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Coupon interest payable on 2029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Coupon interest payable on 2027 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Coupon interest payable on 2025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 and commitment fees under the credit agreements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Capitalization of interest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46" w:lineRule="exact"/>
        <w:rPr>
          <w:sz w:val="20"/>
          <w:szCs w:val="20"/>
          <w:color w:val="auto"/>
        </w:rPr>
      </w:pPr>
    </w:p>
    <w:p>
      <w:pPr>
        <w:jc w:val="both"/>
        <w:ind w:right="440" w:firstLine="318"/>
        <w:spacing w:after="0" w:line="282" w:lineRule="auto"/>
        <w:rPr>
          <w:sz w:val="20"/>
          <w:szCs w:val="20"/>
          <w:color w:val="auto"/>
        </w:rPr>
      </w:pPr>
      <w:r>
        <w:rPr>
          <w:rFonts w:ascii="Times New Roman" w:cs="Times New Roman" w:eastAsia="Times New Roman" w:hAnsi="Times New Roman"/>
          <w:sz w:val="17"/>
          <w:szCs w:val="17"/>
          <w:color w:val="auto"/>
        </w:rPr>
        <w:t>The Company has entered into various operating lease agreements for its offices and co-location sites and related equipment. The Company has also entered into sublease agreements with tenants of various offices previously vacated by the Company. These operating leases have lease periods expiring between 2025 and 2034. The Company’s operating lease costs for the years ended December 31, 2024, 2023 and 2022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Real Estate</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Co-location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Arrangements</w:t>
            </w:r>
          </w:p>
        </w:tc>
        <w:tc>
          <w:tcPr>
            <w:tcW w:w="18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Arrangements</w:t>
            </w: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Total</w:t>
            </w:r>
          </w:p>
        </w:tc>
      </w:tr>
      <w:tr>
        <w:trPr>
          <w:trHeight w:val="185"/>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w w:val="94"/>
              </w:rPr>
              <w:t>2024</w:t>
            </w:r>
          </w:p>
        </w:tc>
        <w:tc>
          <w:tcPr>
            <w:tcW w:w="6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292,902</w:t>
            </w:r>
          </w:p>
        </w:tc>
      </w:tr>
      <w:tr>
        <w:trPr>
          <w:trHeight w:val="225"/>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w:t>
            </w:r>
          </w:p>
        </w:tc>
      </w:tr>
      <w:tr>
        <w:trPr>
          <w:trHeight w:val="225"/>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93,850</w:t>
            </w:r>
          </w:p>
        </w:tc>
      </w:tr>
      <w:tr>
        <w:trPr>
          <w:trHeight w:val="225"/>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w:t>
            </w:r>
          </w:p>
        </w:tc>
      </w:tr>
      <w:tr>
        <w:trPr>
          <w:trHeight w:val="218"/>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318,161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w w:val="94"/>
              </w:rPr>
              <w:t>2023</w:t>
            </w:r>
          </w:p>
        </w:tc>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5"/>
        </w:trPr>
        <w:tc>
          <w:tcPr>
            <w:tcW w:w="20" w:type="dxa"/>
            <w:vAlign w:val="bottom"/>
            <w:shd w:val="clear" w:color="auto" w:fill="CCEEFF"/>
          </w:tcPr>
          <w:p>
            <w:pPr>
              <w:spacing w:after="0"/>
              <w:rPr>
                <w:sz w:val="20"/>
                <w:szCs w:val="20"/>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253,606</w:t>
            </w:r>
          </w:p>
        </w:tc>
      </w:tr>
      <w:tr>
        <w:trPr>
          <w:trHeight w:val="225"/>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23,698</w:t>
            </w:r>
          </w:p>
        </w:tc>
      </w:tr>
      <w:tr>
        <w:trPr>
          <w:trHeight w:val="225"/>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87,944</w:t>
            </w:r>
          </w:p>
        </w:tc>
      </w:tr>
      <w:tr>
        <w:trPr>
          <w:trHeight w:val="225"/>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(32,024)</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w w:val="94"/>
              </w:rPr>
              <w:t>2022</w:t>
            </w:r>
          </w:p>
        </w:tc>
        <w:tc>
          <w:tcPr>
            <w:tcW w:w="6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234,976</w:t>
            </w:r>
          </w:p>
        </w:tc>
      </w:tr>
      <w:tr>
        <w:trPr>
          <w:trHeight w:val="225"/>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w:t>
            </w:r>
          </w:p>
        </w:tc>
      </w:tr>
      <w:tr>
        <w:trPr>
          <w:trHeight w:val="225"/>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60,192</w:t>
            </w:r>
          </w:p>
        </w:tc>
      </w:tr>
      <w:tr>
        <w:trPr>
          <w:trHeight w:val="225"/>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(25,743)</w:t>
            </w:r>
          </w:p>
        </w:tc>
      </w:tr>
      <w:tr>
        <w:trPr>
          <w:trHeight w:val="21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208,981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291,218</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Lease costs for real estate arrangements are included in general and administrative expenses in the consolidated statements of income. Lease costs for co-location arrangements are primarily included in cost of revenue.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Weighted average remaining lease terms and discount rates related to the Company's operating leases as of December 31, 2024 and 2023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44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jc w:val="right"/>
              <w:ind w:right="892"/>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65"/>
        </w:trPr>
        <w:tc>
          <w:tcPr>
            <w:tcW w:w="4460" w:type="dxa"/>
            <w:vAlign w:val="bottom"/>
          </w:tcPr>
          <w:p>
            <w:pPr>
              <w:spacing w:after="0"/>
              <w:rPr>
                <w:sz w:val="14"/>
                <w:szCs w:val="14"/>
                <w:color w:val="auto"/>
              </w:rPr>
            </w:pPr>
          </w:p>
        </w:tc>
        <w:tc>
          <w:tcPr>
            <w:tcW w:w="1720" w:type="dxa"/>
            <w:vAlign w:val="bottom"/>
            <w:tcBorders>
              <w:top w:val="single" w:sz="8" w:color="auto"/>
            </w:tcBorders>
            <w:gridSpan w:val="2"/>
          </w:tcPr>
          <w:p>
            <w:pPr>
              <w:jc w:val="center"/>
              <w:ind w:right="120"/>
              <w:spacing w:after="0" w:line="165" w:lineRule="exact"/>
              <w:rPr>
                <w:sz w:val="20"/>
                <w:szCs w:val="20"/>
                <w:color w:val="auto"/>
              </w:rPr>
            </w:pPr>
            <w:r>
              <w:rPr>
                <w:rFonts w:ascii="Times New Roman" w:cs="Times New Roman" w:eastAsia="Times New Roman" w:hAnsi="Times New Roman"/>
                <w:sz w:val="18"/>
                <w:szCs w:val="18"/>
                <w:color w:val="auto"/>
                <w:w w:val="98"/>
              </w:rPr>
              <w:t>Real Estate</w:t>
            </w:r>
          </w:p>
        </w:tc>
        <w:tc>
          <w:tcPr>
            <w:tcW w:w="16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Co-location</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right"/>
              <w:ind w:right="500"/>
              <w:spacing w:after="0" w:line="165" w:lineRule="exact"/>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92"/>
              <w:spacing w:after="0" w:line="165" w:lineRule="exact"/>
              <w:rPr>
                <w:sz w:val="20"/>
                <w:szCs w:val="20"/>
                <w:color w:val="auto"/>
              </w:rPr>
            </w:pPr>
            <w:r>
              <w:rPr>
                <w:rFonts w:ascii="Times New Roman" w:cs="Times New Roman" w:eastAsia="Times New Roman" w:hAnsi="Times New Roman"/>
                <w:sz w:val="18"/>
                <w:szCs w:val="18"/>
                <w:color w:val="auto"/>
              </w:rPr>
              <w:t>Co-location</w:t>
            </w:r>
          </w:p>
        </w:tc>
      </w:tr>
      <w:tr>
        <w:trPr>
          <w:trHeight w:val="235"/>
        </w:trPr>
        <w:tc>
          <w:tcPr>
            <w:tcW w:w="446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Arrangements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Arrangements</w:t>
            </w:r>
          </w:p>
        </w:tc>
        <w:tc>
          <w:tcPr>
            <w:tcW w:w="220" w:type="dxa"/>
            <w:vAlign w:val="bottom"/>
          </w:tcPr>
          <w:p>
            <w:pPr>
              <w:spacing w:after="0"/>
              <w:rPr>
                <w:sz w:val="20"/>
                <w:szCs w:val="20"/>
                <w:color w:val="auto"/>
              </w:rPr>
            </w:pP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Arrangements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Arrangements</w:t>
            </w:r>
          </w:p>
        </w:tc>
      </w:tr>
      <w:tr>
        <w:trPr>
          <w:trHeight w:val="222"/>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1"/>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538"/>
        </w:trPr>
        <w:tc>
          <w:tcPr>
            <w:tcW w:w="79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were as follows (in thousands):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6"/>
        </w:trPr>
        <w:tc>
          <w:tcPr>
            <w:tcW w:w="4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Co-location</w:t>
            </w:r>
          </w:p>
        </w:tc>
      </w:tr>
      <w:tr>
        <w:trPr>
          <w:trHeight w:val="235"/>
        </w:trPr>
        <w:tc>
          <w:tcPr>
            <w:tcW w:w="44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Arrangements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Arrangements</w:t>
            </w:r>
          </w:p>
        </w:tc>
      </w:tr>
      <w:tr>
        <w:trPr>
          <w:trHeight w:val="22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195,152</w:t>
            </w: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134,556</w:t>
            </w:r>
          </w:p>
        </w:tc>
      </w:tr>
      <w:tr>
        <w:trPr>
          <w:trHeight w:val="22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113,227</w:t>
            </w: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80,465</w:t>
            </w:r>
          </w:p>
        </w:tc>
      </w:tr>
      <w:tr>
        <w:trPr>
          <w:trHeight w:val="22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66,100</w:t>
            </w:r>
          </w:p>
        </w:tc>
      </w:tr>
      <w:tr>
        <w:trPr>
          <w:trHeight w:val="225"/>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261,818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73,094</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569,038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662,594</w:t>
            </w:r>
          </w:p>
        </w:tc>
      </w:tr>
      <w:tr>
        <w:trPr>
          <w:trHeight w:val="225"/>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61,093</w:t>
            </w: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487,293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601,501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auto"/>
        </w:rPr>
        <w:t>The table above excludes $182.5 million of future sublease income that is expected to be recognized through 2034. As of December 31, 2024, the Company had additional operating leases for co-location sites that had not yet commenced of $197.0 million, of which a majority will commence in 2025, with lease terms of one year to ten years. Additionally, during the fourth quarter of 2024, the Company entered into an operating lease with a data center operator for space in the Virginia area that is expected to commence beginning in the third quarter of 2025. The lease is for a datacenter with gross payments of approximately $750.0 million over a 12 year lease term. The Company has contemporaneously entered into a sublease with the affiliate of a large social media customer for the use of the space on substantially similar terms. The operating lease costs and associated sublease income will be recorded as general and administrative expense in the consolidated statements of income and are expected to substantially offset each other.</w:t>
      </w:r>
    </w:p>
    <w:p>
      <w:pPr>
        <w:spacing w:after="0" w:line="213"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As of December 31, 2024, the Company had outstanding letters of credit in the amount of $4.0 million, primarily related to operating leases. The letters of credit remain in effect until the Company fulfills its obligations under these leases or as such obligations expire under the terms of the letters of credit.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46"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The Company enters into long-term agreements with network and internet service providers for bandwidth, as well as executes purchase orders for the purchase of goods or services in the ordinary course of business, which may contain minimum commitments. These minimum commitments may vary from period to period depending on the timing and length of contract renewals with vendors, and on the Company's plans for network expansion, including expansion plans related to the Company's compute business. Minimum commitments are not recorded as liabilities on the consolidated balance sheet until the Company has received the related good or service.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46"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The Company is party to various litigation matters that management considers routine and incidental to its business. Management does not expect the results of any of these routine actions to have a material effect on the Company’s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46"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7"/>
          <w:szCs w:val="17"/>
          <w:color w:val="auto"/>
        </w:rPr>
        <w:t>The Company enters into standard indemnification agreements in the ordinary course of business. Pursuant to these agreements, the Company agrees to indemnify, hold harmless and reimburse the indemnified party for losses suffered or incurred by the indemnified party, generally the Company's business partners, vendors or customers, in connection with its provision of its services. Generally, these obligations are limited to claims relating to infringement of a patent, copyright or other intellectual property right or the Company’s negligence, willful misconduct or violation of law. Subject to applicable statutes of limitation, the term of each of these indemnification agreements is generally perpetual from the time of execution of the agreement. The maximum potential amount of future payments the Company could be required to make under these indemnification agreements is unlimited; however, the Company carries insurance that covers certain third-party claims relating to its services and activities and that could limit the Company’s exposure in that respect.</w:t>
      </w:r>
    </w:p>
    <w:p>
      <w:pPr>
        <w:spacing w:after="0" w:line="200"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The Company has agreed to indemnify each of its officers and directors, or employees who serve as officers or directors of its subsidiaries at management's request, during his or her lifetime for certain events or occurrences that happen by reason of the fact that the officer or director is or was or has agreed to serve as an officer or director of the Company. The Company has director and officer insurance policies that may limit its exposure and may enable the Company to recover a portion of certain future amounts paid.</w:t>
      </w:r>
    </w:p>
    <w:p>
      <w:pPr>
        <w:spacing w:after="0" w:line="207"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To date, the Company has not encountered material costs as a result of such indemnification obligations and has not accrued any related liabilities in its consolidated financial statements. In assessing whether to establish an accrual, the Company considers such factors as the degree of probability of an unfavorable outcome and the ability to make a reasonable estimate of the amount of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46"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In October 2021, the board of directors authorized a $1.8 billion share repurchase program, effective January 2022 through December 2024. In May 2024, the board of directors authorized a new $2.0 billion share repurchase program, effective May 2024 through June 2027. The Company's goals for the share repurchase programs are to offset the dilution created by its employee equity compensation programs over time and provide the flexibility to return capital to stockholders as business and market conditions warrant, while still preserving its ability to pursue other strategic opportunities.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share repurchase activity pursuant to the share repurchase programs described above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608,010</w:t>
            </w:r>
          </w:p>
        </w:tc>
      </w:tr>
      <w:tr>
        <w:trPr>
          <w:trHeight w:val="231"/>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r>
    </w:tbl>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the Company had $2.0 billion available for future purchases of shares under the current repurchase program.</w:t>
      </w:r>
    </w:p>
    <w:p>
      <w:pPr>
        <w:spacing w:after="0" w:line="244" w:lineRule="exact"/>
        <w:rPr>
          <w:sz w:val="20"/>
          <w:szCs w:val="20"/>
          <w:color w:val="auto"/>
        </w:rPr>
      </w:pPr>
    </w:p>
    <w:p>
      <w:pPr>
        <w:jc w:val="both"/>
        <w:ind w:right="120" w:firstLine="318"/>
        <w:spacing w:after="0" w:line="259" w:lineRule="auto"/>
        <w:rPr>
          <w:sz w:val="20"/>
          <w:szCs w:val="20"/>
          <w:color w:val="auto"/>
        </w:rPr>
      </w:pPr>
      <w:r>
        <w:rPr>
          <w:rFonts w:ascii="Times New Roman" w:cs="Times New Roman" w:eastAsia="Times New Roman" w:hAnsi="Times New Roman"/>
          <w:sz w:val="18"/>
          <w:szCs w:val="18"/>
          <w:color w:val="auto"/>
        </w:rPr>
        <w:t>The board of directors authorized the retirement of all the outstanding shares of its treasury stock as of each of December 31, 2023 and 2022. The retired shares were returned to the number of authorized but unissued shares of the Company's common stock, and the retirement was recorded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4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Changes in accumulated other comprehensive loss, net of tax, which is reported as a component of stockholders' equity, for the years ended December 31, 2024 and 2023 were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Net Unrealized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color w:val="auto"/>
                <w:w w:val="98"/>
              </w:rPr>
              <w:t>(Losses) Gains on</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Translation</w:t>
            </w:r>
          </w:p>
        </w:tc>
        <w:tc>
          <w:tcPr>
            <w:tcW w:w="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Investments</w:t>
            </w:r>
          </w:p>
        </w:tc>
        <w:tc>
          <w:tcPr>
            <w:tcW w:w="34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8"/>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(140,332)</w:t>
            </w:r>
          </w:p>
        </w:tc>
        <w:tc>
          <w:tcPr>
            <w:tcW w:w="0" w:type="dxa"/>
            <w:vAlign w:val="bottom"/>
          </w:tcPr>
          <w:p>
            <w:pPr>
              <w:spacing w:after="0"/>
              <w:rPr>
                <w:sz w:val="1"/>
                <w:szCs w:val="1"/>
                <w:color w:val="auto"/>
              </w:rPr>
            </w:pPr>
          </w:p>
        </w:tc>
      </w:tr>
      <w:tr>
        <w:trPr>
          <w:trHeight w:val="225"/>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(95,330)</w:t>
            </w:r>
          </w:p>
        </w:tc>
        <w:tc>
          <w:tcPr>
            <w:tcW w:w="0" w:type="dxa"/>
            <w:vAlign w:val="bottom"/>
          </w:tcPr>
          <w:p>
            <w:pPr>
              <w:spacing w:after="0"/>
              <w:rPr>
                <w:sz w:val="1"/>
                <w:szCs w:val="1"/>
                <w:color w:val="auto"/>
              </w:rPr>
            </w:pPr>
          </w:p>
        </w:tc>
      </w:tr>
      <w:tr>
        <w:trPr>
          <w:trHeight w:val="225"/>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(60,663)</w:t>
            </w:r>
          </w:p>
        </w:tc>
        <w:tc>
          <w:tcPr>
            <w:tcW w:w="0" w:type="dxa"/>
            <w:vAlign w:val="bottom"/>
          </w:tcPr>
          <w:p>
            <w:pPr>
              <w:spacing w:after="0"/>
              <w:rPr>
                <w:sz w:val="1"/>
                <w:szCs w:val="1"/>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to net income were insignificant for the years ended December 31, 2024 and 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Revenue from Contracts with Customers</w:t>
      </w:r>
    </w:p>
    <w:p>
      <w:pPr>
        <w:spacing w:after="0" w:line="246"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Company sells its services through a sales force located both domestically and internationally. Revenue derived from operations outside of the U.S. is determined based on the country in which the sale originated. Other than the U.S., no single country accounted for 10% or more of the Company’s total revenue for any reported period. Revenue by geography included in the Company’s consolidated statements of income for the years ended December 31, 2024, 2023 and 2022 was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1,902,051</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1,915,635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1,843,141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1,714,603</w:t>
            </w:r>
          </w:p>
        </w:tc>
      </w:tr>
      <w:tr>
        <w:trPr>
          <w:trHeight w:val="24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3,991,168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3,811,920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3,616,654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240" w:firstLine="318"/>
        <w:spacing w:after="0" w:line="252" w:lineRule="auto"/>
        <w:rPr>
          <w:sz w:val="20"/>
          <w:szCs w:val="20"/>
          <w:color w:val="auto"/>
        </w:rPr>
      </w:pPr>
      <w:r>
        <w:rPr>
          <w:rFonts w:ascii="Times New Roman" w:cs="Times New Roman" w:eastAsia="Times New Roman" w:hAnsi="Times New Roman"/>
          <w:sz w:val="18"/>
          <w:szCs w:val="18"/>
          <w:color w:val="auto"/>
        </w:rPr>
        <w:t>The Company reports its revenue in three solution categories: security, delivery and compute. Security includes solutions that are designed to protect business online by keeping infrastructure, websites, applications, APIs, networks and users safe. Delivery includes solutions that are designed to enable business online, including media delivery and web and mobile performance. Compute includes compute, storage, networking, database and container management services. Revenue by solution category included in the Company’s consolidated statements of income for the years ended December 31, 2024, 2023 and 2022 was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1,541,941</w:t>
            </w: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Delivery</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1,542,434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1,669,257</w:t>
            </w: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405,456</w:t>
            </w:r>
          </w:p>
        </w:tc>
      </w:tr>
      <w:tr>
        <w:trPr>
          <w:trHeight w:val="219"/>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3,991,168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3,811,920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3,616,654</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Most security, delivery and compute services represent obligations that are satisfied over time as the customer simultaneously receives and consumes the services provided by the Company. Accordingly, the majority of the Company's revenue is recognized over time, generally ratably over the term of the arrangement due to consistent monthly usage commitments that expire each period. Any usage over a given commitment is recognized in the period in which the units are served. A small percentage of the Company's contracts are satisfied at a point in time, such as one-time professional services contracts, integration services and most license sales where the primary obligation is delivery of the license at the start of the term. In these cases, revenue is recognized at a point in time of delivery or satisfaction of the performance obligation.</w:t>
      </w:r>
    </w:p>
    <w:p>
      <w:pPr>
        <w:spacing w:after="0" w:line="212"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$109.1 million, $105.9 million and $105.1 million of revenue that was included in deferred revenue as of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60" w:firstLine="318"/>
        <w:spacing w:after="0" w:line="249" w:lineRule="auto"/>
        <w:rPr>
          <w:sz w:val="20"/>
          <w:szCs w:val="20"/>
          <w:color w:val="auto"/>
        </w:rPr>
      </w:pPr>
      <w:r>
        <w:rPr>
          <w:rFonts w:ascii="Times New Roman" w:cs="Times New Roman" w:eastAsia="Times New Roman" w:hAnsi="Times New Roman"/>
          <w:sz w:val="18"/>
          <w:szCs w:val="18"/>
          <w:color w:val="auto"/>
        </w:rPr>
        <w:t>As of December 31, 2024, the aggregate amount of remaining performance obligations from contracts with customers was $4.3 billion. The Company expects to recognize approximately 60% of its remaining performance obligations as revenue over the next 12 months and approximately 35% over the next two to three years, with the remaining thereafter. Remaining performance obligations represent the amount of the transaction price under contracts with customers that are attributable to performance obligations that are unsatisfied or partially satisfied at the reporting date. This consists of future committed revenue for monthly, quarterly or annual periods within current contracts with customers, as well as deferred revenue arising from consideration invoiced in prior periods for which the related performance obligations have not been satisfied. It excludes estimates of variable consideration such as usage-based contracts with no committed contract as well as anticipated renewed contracts. Revenue recognized during the years ended December 31, 2024, 2023 and 2022, related to performance obligations satisfied in previous periods was not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46" w:lineRule="exact"/>
        <w:rPr>
          <w:sz w:val="20"/>
          <w:szCs w:val="20"/>
          <w:color w:val="auto"/>
        </w:rPr>
      </w:pPr>
    </w:p>
    <w:p>
      <w:pPr>
        <w:ind w:right="60" w:firstLine="318"/>
        <w:spacing w:after="0" w:line="282" w:lineRule="auto"/>
        <w:rPr>
          <w:sz w:val="20"/>
          <w:szCs w:val="20"/>
          <w:color w:val="auto"/>
        </w:rPr>
      </w:pPr>
      <w:r>
        <w:rPr>
          <w:rFonts w:ascii="Times New Roman" w:cs="Times New Roman" w:eastAsia="Times New Roman" w:hAnsi="Times New Roman"/>
          <w:sz w:val="17"/>
          <w:szCs w:val="17"/>
          <w:color w:val="auto"/>
        </w:rPr>
        <w:t>The Company has a savings plan for its U.S. employees that is designed to be qualified under Section 401(k) of the Internal Revenue Code. Eligible employees are permitted to contribute to this plan through payroll deductions within statutory and plan limits. The Company contributed $19.1 million, $19.7 million and $18.8 million of cash to the savings plan for the years ended December 31, 2024, 2023 and 2022, respectively, under a matching program.</w:t>
      </w:r>
    </w:p>
    <w:p>
      <w:pPr>
        <w:spacing w:after="0" w:line="185"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Company also maintains defined contribution benefit plans covering eligible foreign employees. The expense for these plans was not material in any period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46"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The Company offers certain eligible employees the ability to participate in a non-qualified deferred compensation plan, under which certain executives may elect to defer a portion of their compensation. Deferrals of cash compensation are invested by the Company in restricted mutual funds that mirror hypothetical investments elected by the plan participants. Deferrals of stock awards remain in the Company’s stock. As of December 31, 2024 and 2023, the total cash obligation under the deferred compensation plan was $26.6 million and $22.9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Stock-Based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46"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In May 2013, the Company's stockholders approved the Akamai Technologies, Inc. 2013 Stock Incentive Plan, which was amended with Company shareholder approval in each of 2015, 2017, 2019, 2021, 2022 and 2023 (as amended and restated, the "2013 Plan"). The 2013 Plan replaced the Akamai Technologies, Inc. 2009 Stock Incentive Plan (the "2009 Plan"), which in turn replaced the Akamai Technologies, Inc. 2006 Stock Incentive Plan, the Akamai Technologies, Inc. 2001 Stock Incentive Plan and the Akamai Technologies, Inc. 1998 Stock Incentive Plan (such plans, together with the 2009 Plan, the "Previous Plans"). The Company no longer issues equity awards under the Previous Plans, and there are no outstanding equity awards related to those plans. The 2013 Plan allows for the issuance of incentive stock options, non-statutory stock options, stock appreciation rights, restricted stock, restricted stock units, other stock-based awards and cash-based awards for up to 38.8 million shares of common stock, subject to certain adjustments, to employees, officers, directors, consultants and advisers of the Company. There are no shares of common stock that are currently outstanding under the Previous Plans available to grant under the 2013 Plan. As of December 31, 2024, the Company had reserved 7.6 million shares of common stock available for future issuance of equity awards under the 2013 Plan.</w:t>
      </w:r>
    </w:p>
    <w:p>
      <w:pPr>
        <w:spacing w:after="0" w:line="22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assumed certain stock incentive plans and the outstanding stock incentives of companies that it has acquired (“Assumed Plans”). Stock awards outstanding as of the date of acquisition under the Assumed Plans were exchanged for the Company’s stock awards and adjusted to reflect the appropriate conversion ratio as specified by the applicable acquisition agreement, but are otherwise administered in accordance with the terms of the Assumed Plans. Stock awards under the Assumed Plans generally vest over three years to four years, and outstanding stock options under the Assumed Plans expire ten years from the date of grant.</w:t>
      </w:r>
    </w:p>
    <w:p>
      <w:pPr>
        <w:spacing w:after="0" w:line="212"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Additionally, the Company has the 1999 Employee Stock Purchase Plan ("1999 ESPP") that permits eligible employees to purchase up to 1.5 million shares each June 1 and December 1, provided that the aggregate number of shares issued shall not exceed 20.0 million. The 1999 ESPP allows participants to purchase shares of common stock at a 15% discount from the fair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market value of the stock as determined on specific dates at six-month intervals. As of December 31, 2024, the Company had reserved 1.6 million shares of common stock available for future purchases under the 1999 ESPP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6"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Components of total stock-based compensation expense included in the Company’s consolidated statements of income for the years ended December 31, 2024, 2023 and 2022 were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78,116</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47,789</w:t>
            </w:r>
          </w:p>
        </w:tc>
      </w:tr>
      <w:tr>
        <w:trPr>
          <w:trHeight w:val="22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62,926</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217,185</w:t>
            </w:r>
          </w:p>
        </w:tc>
      </w:tr>
      <w:tr>
        <w:trPr>
          <w:trHeight w:val="22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(46,829)</w:t>
            </w: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net of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 amounts of stock-based compensation reported in the table above, the Company’s consolidated statements of income for the years ended December 31, 2024, 2023 and 2022 also include stock-based compensation reflected as a component of amortization primarily consisting of capitalized internal-use software; the additional stock-based compensation was $42.5 million, $32.5 million and $31.3 million, respectively, before taxes.</w:t>
      </w:r>
    </w:p>
    <w:p>
      <w:pPr>
        <w:spacing w:after="0" w:line="204"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During 2023, the Company redesigned one of its non-executive short-term incentive compensation programs from a cash-based to a stock-based program that vests in one year. The Company also introduced a non-executive incentive program tied to its initiative to migrate certain applications from third-party cloud platforms onto its compute platform that vests over two years. These programs, headcount growth, an increase in equity award sizes to some new hires and existing employees due to market conditions and expected achievement of executive performance-based compensation plans increased stock-based compensation for the year ended December 31, 2023.</w:t>
      </w:r>
    </w:p>
    <w:p>
      <w:pPr>
        <w:spacing w:after="0" w:line="212"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2024, total pre-tax unrecognized compensation cost for stock awards was $491.2 million. The expense is expected to be recognized through 2028 over a weighted average period of 1.5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activity under the 1999 ESPP (in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purchase price per share</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61,131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56,570</w:t>
            </w: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$6.8 million had been withheld from employees for future purchases under the 1999 ESPP.</w:t>
      </w:r>
    </w:p>
    <w:p>
      <w:pPr>
        <w:spacing w:after="0" w:line="244"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the stock awards issued under the Company’s 1999 ESPP. This model requires the input of subjective assumptions, including expected stock price volatility and the estimated term of each award. The estimated fair value of the stock awards issued under the Company's 1999 ESPP, less expected forfeitures, is amortized over the stock awards' six-month contribution period on a straight-line basis. Expected volatilities are based on the Company’s historical stock price volatility. The risk-free interest rate for periods commensurate with the expected term of the stock award is based on the U.S. Treasury yield rate in effect at the time of grant. The expected dividend yield is zero, as the Company currently does not pay a dividend and does not anticipate doing so in the future.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grant-date fair values of awards granted under the 1999 ESPP during the years ended December 31, 2024, 2023 and 2022 were estimated using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 with the following weighted-average assumptions: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ind w:left="676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6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5"/>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31"/>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7"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2024, 2023 and 2022, the weighted average fair value of awards granted under the 1999 ESPP was $22.63 per share, $23.12 per share and $33.26 per share,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Restricted Stock and Deferred Stock Units</w:t>
      </w:r>
    </w:p>
    <w:p>
      <w:pPr>
        <w:spacing w:after="0" w:line="246" w:lineRule="exact"/>
        <w:rPr>
          <w:sz w:val="20"/>
          <w:szCs w:val="20"/>
          <w:color w:val="auto"/>
        </w:rPr>
      </w:pPr>
    </w:p>
    <w:p>
      <w:pPr>
        <w:ind w:right="80" w:firstLine="318"/>
        <w:spacing w:after="0" w:line="269" w:lineRule="auto"/>
        <w:rPr>
          <w:sz w:val="20"/>
          <w:szCs w:val="20"/>
          <w:color w:val="auto"/>
        </w:rPr>
      </w:pPr>
      <w:r>
        <w:rPr>
          <w:rFonts w:ascii="Times New Roman" w:cs="Times New Roman" w:eastAsia="Times New Roman" w:hAnsi="Times New Roman"/>
          <w:sz w:val="17"/>
          <w:szCs w:val="17"/>
          <w:color w:val="auto"/>
        </w:rPr>
        <w:t>Restricted stock units ("RSUs") represent the right to receive one share of the Company’s common stock upon vesting, while restricted stock is a grant of one share of the Company's common stock subject to vesting conditions. These awards are granted at the discretion of the board of directors, a committee thereof or, subject to defined limitations, the Chief Executive Officer of the Company, acting as a committee of one director, to whom such authority has been delegated. The Company has issued service-based RSUs and restricted stock that vest based on the passage of time assuming continued service with the Company, market-based RSUs that vest based upon total shareholder return ("TSR") measured against the benchmark TSR of a peer group and performance-based RSUs that vest only upon the achievement of defined internal performance metrics tied primarily to defined financial metrics.</w:t>
      </w:r>
    </w:p>
    <w:p>
      <w:pPr>
        <w:spacing w:after="0" w:line="196" w:lineRule="exact"/>
        <w:rPr>
          <w:sz w:val="20"/>
          <w:szCs w:val="20"/>
          <w:color w:val="auto"/>
        </w:rPr>
      </w:pPr>
    </w:p>
    <w:p>
      <w:pPr>
        <w:ind w:right="100" w:firstLine="318"/>
        <w:spacing w:after="0" w:line="275" w:lineRule="auto"/>
        <w:rPr>
          <w:sz w:val="20"/>
          <w:szCs w:val="20"/>
          <w:color w:val="auto"/>
        </w:rPr>
      </w:pPr>
      <w:r>
        <w:rPr>
          <w:rFonts w:ascii="Times New Roman" w:cs="Times New Roman" w:eastAsia="Times New Roman" w:hAnsi="Times New Roman"/>
          <w:sz w:val="17"/>
          <w:szCs w:val="17"/>
          <w:color w:val="auto"/>
        </w:rPr>
        <w:t>In addition to granting RSUs and restricted stock to its employees, the Company has granted deferred stock units ("DSUs") to non-employee members of its board of directors. These DSUs are granted at the discretion of the board of directors, subject to defined limitations. Each DSU represents the right to receive one share of the Company’s common stock upon vesting. The holder may elect to defer receipt of the vested shares of stock represented by the DSU for a period of at least one year but not more than ten years from the grant date. DSUs vest 100% on the first anniversary of the grant date. If a director has completed one year of service, vesting of 100% of the DSUs held by such director will accelerate at the time of his or her departure from the board.</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RSUs, restricted stock and DSUs granted by the Company during the year ended December 31, 2024 were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8"/>
        </w:trPr>
        <w:tc>
          <w:tcPr>
            <w:tcW w:w="96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Service-based </w:t>
            </w:r>
            <w:r>
              <w:rPr>
                <w:rFonts w:ascii="Times New Roman" w:cs="Times New Roman" w:eastAsia="Times New Roman" w:hAnsi="Times New Roman"/>
                <w:sz w:val="22"/>
                <w:szCs w:val="22"/>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Market-based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DSU grants of 29,274 shares</w:t>
      </w:r>
    </w:p>
    <w:p>
      <w:pPr>
        <w:spacing w:after="0" w:line="25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For service-based RSUs, restricted stock and DSUs, the fair value is calculated based upon the Company’s closing stock price on the date of grant, and the stock-based compensation expense is being recognized over the vesting period. The majority of these awards vest over a three- or four-year period following the grant date, with some programs vesting over less time.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For market-based RSUs, the Company uses the Monte Carlo simulation model to determine the fair value. This model requires the input of assumptions, including the estimated term of each award, the risk-free interest rate, historical stock price volatility of the Company's shares and historical stock price volatility of peer-company shares. The grant-date fair values of the TSR-based RSUs granted during the years ended December 31, 2024, 2023 and 2022 were estimated using a Monte Carlo simulation model with the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ind w:left="680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6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Akamai historical share price volatility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31"/>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volatility of peer-company share price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r>
    </w:tbl>
    <w:p>
      <w:pPr>
        <w:spacing w:after="0" w:line="307"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7"/>
          <w:szCs w:val="17"/>
          <w:color w:val="auto"/>
        </w:rPr>
        <w:t>For performance-based RSUs, management measured compensation expense based upon a review of the Company’s expected achievement against specified financial performance targets. Such compensation cost is being recognized using a graded-vesting method for each series of grants of performance-based RSUs, to the extent management has deemed that such awards are probable of vesting based upon the expected achievement against the specified targets. Each reporting period, management reviews the Company’s expected performance and adjusts the compensation cost, if needed, at such time.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RSU, restricted stock and DSU activity for the year ended December 31, 2024 was as follows: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8040" w:type="dxa"/>
            <w:vAlign w:val="bottom"/>
          </w:tcPr>
          <w:p>
            <w:pPr>
              <w:spacing w:after="0"/>
              <w:rPr>
                <w:sz w:val="24"/>
                <w:szCs w:val="24"/>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Units</w:t>
            </w:r>
          </w:p>
        </w:tc>
        <w:tc>
          <w:tcPr>
            <w:tcW w:w="100" w:type="dxa"/>
            <w:vAlign w:val="bottom"/>
          </w:tcPr>
          <w:p>
            <w:pPr>
              <w:spacing w:after="0"/>
              <w:rPr>
                <w:sz w:val="24"/>
                <w:szCs w:val="24"/>
                <w:color w:val="auto"/>
              </w:rPr>
            </w:pPr>
          </w:p>
        </w:tc>
        <w:tc>
          <w:tcPr>
            <w:tcW w:w="14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172"/>
        </w:trPr>
        <w:tc>
          <w:tcPr>
            <w:tcW w:w="80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12"/>
              <w:spacing w:after="0" w:line="172" w:lineRule="exact"/>
              <w:rPr>
                <w:sz w:val="20"/>
                <w:szCs w:val="20"/>
                <w:color w:val="auto"/>
              </w:rPr>
            </w:pPr>
            <w:r>
              <w:rPr>
                <w:rFonts w:ascii="Times New Roman" w:cs="Times New Roman" w:eastAsia="Times New Roman" w:hAnsi="Times New Roman"/>
                <w:sz w:val="18"/>
                <w:szCs w:val="18"/>
                <w:color w:val="auto"/>
                <w:w w:val="99"/>
              </w:rPr>
              <w:t>Grant Date Fair</w:t>
            </w:r>
          </w:p>
        </w:tc>
        <w:tc>
          <w:tcPr>
            <w:tcW w:w="0" w:type="dxa"/>
            <w:vAlign w:val="bottom"/>
          </w:tcPr>
          <w:p>
            <w:pPr>
              <w:spacing w:after="0"/>
              <w:rPr>
                <w:sz w:val="1"/>
                <w:szCs w:val="1"/>
                <w:color w:val="auto"/>
              </w:rPr>
            </w:pPr>
          </w:p>
        </w:tc>
      </w:tr>
      <w:tr>
        <w:trPr>
          <w:trHeight w:val="235"/>
        </w:trPr>
        <w:tc>
          <w:tcPr>
            <w:tcW w:w="804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0"/>
                <w:szCs w:val="20"/>
                <w:color w:val="auto"/>
              </w:rPr>
            </w:pPr>
          </w:p>
        </w:tc>
        <w:tc>
          <w:tcPr>
            <w:tcW w:w="14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2"/>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0" w:type="dxa"/>
            <w:vAlign w:val="bottom"/>
          </w:tcPr>
          <w:p>
            <w:pPr>
              <w:spacing w:after="0"/>
              <w:rPr>
                <w:sz w:val="1"/>
                <w:szCs w:val="1"/>
                <w:color w:val="auto"/>
              </w:rPr>
            </w:pPr>
          </w:p>
        </w:tc>
      </w:tr>
      <w:tr>
        <w:trPr>
          <w:trHeight w:val="225"/>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2"/>
                <w:szCs w:val="22"/>
                <w:color w:val="auto"/>
                <w:vertAlign w:val="superscript"/>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DSUs of 26,426 shares which have vested and been distributed. Excludes DSUs which have vested, but have not yet been distributed.</w:t>
      </w: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pre-tax intrinsic value and fair value of RSUs, restricted stock and DSUs were as follows (in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intrinsic value of awards vested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227,143</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433,026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259,919</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231,708</w:t>
            </w:r>
          </w:p>
        </w:tc>
      </w:tr>
      <w:tr>
        <w:trPr>
          <w:trHeight w:val="225"/>
        </w:trPr>
        <w:tc>
          <w:tcPr>
            <w:tcW w:w="64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Weighted average fair value of awards granted, per share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grant-date fair value is calculated based upon the Company’s closing stock price on the date of grant.</w:t>
      </w:r>
    </w:p>
    <w:p>
      <w:pPr>
        <w:spacing w:after="0" w:line="333"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2024, outstanding and unvested RSUs, restricted stock and DSUs had an aggregate intrinsic value of $737.4 million and a weighted average remaining vesting period of approximately 1.5 years. These awards are expected to vest on various dates through 2028.</w:t>
      </w:r>
    </w:p>
    <w:p>
      <w:pPr>
        <w:spacing w:after="0" w:line="190"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and 2023, the Company had liability-classified awards outstanding of $10.0 million and $16.3 million, respectively. The liability-classified awards outstanding at December 31, 2024 are expected to vest and be re-classified to equity in less than one year. The liability-classified awards outstanding at December 31, 2023 vested and were re-classified to equity in 2024.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components of income before provision for income taxes were as follows for the years ended December 31, 2024, 2023 and 2022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61,383</w:t>
            </w:r>
          </w:p>
        </w:tc>
      </w:tr>
      <w:tr>
        <w:trPr>
          <w:trHeight w:val="22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596,620</w:t>
            </w: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for the years ended December 31, 2024, 2023 and 2022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05"/>
        </w:trPr>
        <w:tc>
          <w:tcPr>
            <w:tcW w:w="64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 tax provision: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49,808</w:t>
            </w: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172,645</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(73,826)</w:t>
            </w:r>
          </w:p>
        </w:tc>
      </w:tr>
      <w:tr>
        <w:trPr>
          <w:trHeight w:val="225"/>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r>
      <w:tr>
        <w:trPr>
          <w:trHeight w:val="225"/>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126,696</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effective tax rate differed from the U.S. federal statutory tax rate as follows for the years ended December 31, 2024, 2023 and 2022: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state and foreign research and development credits</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earnings</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(nontaxable) foreign items</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prior year uncertain tax position reserve</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uncertain tax position reserve</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sale of intellectual property</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transfer pricing</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r>
      <w:tr>
        <w:trPr>
          <w:trHeight w:val="244"/>
        </w:trPr>
        <w:tc>
          <w:tcPr>
            <w:tcW w:w="6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components of the net deferred tax assets and liabilities and the related valuation allowance as of December 31, 2024 and 2023 were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14,223</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116,752</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42,856</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19,791</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96,020</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108,592</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interest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111,509</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66,053</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w:t>
            </w:r>
          </w:p>
        </w:tc>
      </w:tr>
      <w:tr>
        <w:trPr>
          <w:trHeight w:val="21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601,368</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(103,392)</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development costs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(31,719)</w:t>
            </w: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(161,989)</w:t>
            </w: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(45,704)</w:t>
            </w: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As summary of activity in the valuation allowance on deferred tax assets for the years ended December 31, 2024, 2023 and 2022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37,143</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income tax expense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41,615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Valuation allowances will be recognized on deferred tax assets if it is more-likely-than-not that some or all of the deferred tax assets will not be utilized. In measuring deferred tax assets, the Company considers all available evidence, both positive and negative, to determine whether a valuation allowance is needed. As of December 31, 2024, the Company recorded a $41.6 million valuation allowance against deferred tax assets related to state and foreign tax credits, foreign tax deductions and foreign NOLs in which it is more-likely-than-not that such attributes will expire prior to utilization. The decrease in the valuation allowance during 2024 was $4.1 million, which includes a decrease in the beginning balance of $6.5 million due to a change in expected utilization of state tax credits and foreign tax deductions.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Company's NOL and tax credit carryforwards in U.S. federal, state and foreign jurisdictions as of December 31, 2024 and 2023 were as follows (in thousands, except years):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Expirations at</w:t>
            </w:r>
          </w:p>
        </w:tc>
      </w:tr>
      <w:tr>
        <w:trPr>
          <w:trHeight w:val="180"/>
        </w:trPr>
        <w:tc>
          <w:tcPr>
            <w:tcW w:w="6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5"/>
              </w:rPr>
              <w:t>Various Dates</w:t>
            </w:r>
          </w:p>
        </w:tc>
      </w:tr>
      <w:tr>
        <w:trPr>
          <w:trHeight w:val="230"/>
        </w:trPr>
        <w:tc>
          <w:tcPr>
            <w:tcW w:w="6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Through:</w:t>
            </w:r>
          </w:p>
        </w:tc>
      </w:tr>
      <w:tr>
        <w:trPr>
          <w:trHeight w:val="205"/>
        </w:trPr>
        <w:tc>
          <w:tcPr>
            <w:tcW w:w="6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NOL carryforwards: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5"/>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25"/>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2046</w:t>
            </w:r>
          </w:p>
        </w:tc>
      </w:tr>
      <w:tr>
        <w:trPr>
          <w:trHeight w:val="225"/>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research and development tax credit and other credit carryforwards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portion of the Company's U.S. federal, state and foreign NOL carryforwards relate to acquisitions completed between 2012 and 2023.</w:t>
      </w:r>
    </w:p>
    <w:p>
      <w:pPr>
        <w:spacing w:after="0" w:line="24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As of December 31, 2024, accumulated earnings outside the U.S. totaled $2.3 billion, the majority of which have been taxed due to the one-time transition tax on the mandatory deemed repatriation of cumulative foreign earnings and the tax on global intangible low-taxed income required by the U.S. Tax Cuts and Jobs Act ("TCJA"). No provision for U.S. state income taxes and foreign withholding taxes has been provided for any remaining undistributed foreign earnings not subject to tax under the TCJA, or any additional basis differences inherent in the Company's international subsidiaries, as these amounts continue to be indefinitely reinvested. Determination of the amount of the unrecognized deferred tax liability on outside basis differences is not practicable because of the complexity of laws and regulations, the varying tax treatment of alternative repatriation scenarios and the variation due to multiple potential assumptions relating to the timing of any future repatriation.</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the Company’s unrecognized tax benefits for the years ended December 31, 2024, 2023 and 2022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68,658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of prior periods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45,975</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tax positions of prior periods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 lapse of applicable statute of limitations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79,921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67,958</w:t>
            </w: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2024, 2023 and 2022, the Company had $48.8 million, $39.1 million and $38.3 million of unrecognized tax benefits, respectively. Total interest and penalties for unrecognized tax benefits includes $16.3 million, $11.0 million and $8.6 million as of December 31, 2024, 2023 and 2022, respectively. Interest and penalties related to unrecognized tax benefits are recorded in the provision for income taxes and were $7.5 million, $2.4 million and $2.0 million for the years ended December 31, 2024, 2023 and 2022, respectively. The amount of unrecognized tax benefits that, if recognized, would impact the effective income tax rate is $43.7 million.</w:t>
      </w:r>
    </w:p>
    <w:p>
      <w:pPr>
        <w:spacing w:after="0" w:line="212"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it is reasonably possible that $2.6 million of unrecognized tax benefits may be recognized within the next 12 months due to the expiration of local statutes of limitations. Certain U.S. federal, state and foreign income tax returns from 2015 through 2022 are currently under audit. The Company has reserved for those positions that are not more-likely-than-not to be sustained.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Net Income per Share</w:t>
      </w:r>
    </w:p>
    <w:p>
      <w:pPr>
        <w:spacing w:after="0" w:line="246"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common shares outstanding during the applicable period. Diluted net income per share is computed using the weighted average number of common shares outstanding during the period, plus the dilutive effect of potential common stock. Potential common stock consists of shares issuable pursuant to stock awards, convertible senior notes and warrants issued by the Company. The dilutive effect of outstanding stock awards is reflected in diluted earnings per share by application of the treasury stock method and the dilutive effect of the convertible securities is reflected in diluted earnings per share by application of the if-converted method.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The components used in the computation of basic and diluted net income per share for the years ended December 31, 2024, 2023 and 2022 were as follows (in thousands, except per share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5"/>
        </w:trPr>
        <w:tc>
          <w:tcPr>
            <w:tcW w:w="64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523,672</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used for basic net income per share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159,089</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awards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5"/>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related to issuance of convertible senior notes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for diluted net income per share</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36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7"/>
                <w:szCs w:val="17"/>
                <w:color w:val="auto"/>
              </w:rPr>
            </w:pPr>
          </w:p>
        </w:tc>
        <w:tc>
          <w:tcPr>
            <w:tcW w:w="34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7"/>
                <w:szCs w:val="17"/>
                <w:color w:val="auto"/>
              </w:rPr>
            </w:pPr>
          </w:p>
        </w:tc>
        <w:tc>
          <w:tcPr>
            <w:tcW w:w="36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For the years ended December 31, 2024, 2023 and 2022, certain potential outstanding shares from service-based stock awards and warrants were excluded from the computation of diluted net income per share because the effect of including these items was anti-dilutive. Additionally, certain market- and performance-based stock awards were excluded from the computation of diluted net income per share because the underlying market and performance conditions for such stock awards had not been met as of these dates. The number of potentially outstanding shares excluded from the computation of diluted net income per share for the years ended December 31, 2024, 2023 and 2022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ind w:left="7000"/>
              <w:spacing w:after="0"/>
              <w:rPr>
                <w:sz w:val="20"/>
                <w:szCs w:val="20"/>
                <w:color w:val="auto"/>
              </w:rPr>
            </w:pPr>
            <w:r>
              <w:rPr>
                <w:rFonts w:ascii="Times New Roman" w:cs="Times New Roman" w:eastAsia="Times New Roman" w:hAnsi="Times New Roman"/>
                <w:sz w:val="18"/>
                <w:szCs w:val="18"/>
                <w:color w:val="auto"/>
                <w:w w:val="94"/>
              </w:rPr>
              <w:t>2024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stock awards</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25"/>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and performance-based stock awards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related to issuance of convertible senior notes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32,006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r>
      <w:tr>
        <w:trPr>
          <w:trHeight w:val="21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excluded from computation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35,493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25,232</w:t>
            </w:r>
          </w:p>
        </w:tc>
      </w:tr>
      <w:tr>
        <w:trPr>
          <w:trHeight w:val="20"/>
        </w:trPr>
        <w:tc>
          <w:tcPr>
            <w:tcW w:w="6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and Geographic Information</w:t>
      </w:r>
    </w:p>
    <w:p>
      <w:pPr>
        <w:spacing w:after="0" w:line="24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The Company’s chief operating decision-maker ("CODM") is the chief executive officer and the executive management team. As of December 31, 2024, the Company is currently organized and operates as one operating and reportable segment. The Company is not organized by market and is managed and operated as one business. A single management team that reports to the chief executive officer comprehensively manages the entire business. The Company does not operate any material separate lines of business or separate business entities with respect to its services. Accordingly, the Company does not accumulate discrete financial information with respect to separate entities. The CODM assesses performance and makes decisions on optimizing the allocation of resources across functions and strategic investments using consolidated net income. Segment assets represent total assets as reported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Company's one operating segment for the years ended December 31, 2024, 2023 and 2022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3,616,654</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Co-location fees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197,375</w:t>
            </w:r>
          </w:p>
        </w:tc>
      </w:tr>
      <w:tr>
        <w:trPr>
          <w:trHeight w:val="225"/>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Bandwidth fees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205,268</w:t>
            </w: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Network build-out and supporting services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195,669</w:t>
            </w:r>
          </w:p>
        </w:tc>
      </w:tr>
      <w:tr>
        <w:trPr>
          <w:trHeight w:val="225"/>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1,346,769</w:t>
            </w: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salaries and related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(202,794)</w:t>
            </w:r>
          </w:p>
        </w:tc>
      </w:tr>
      <w:tr>
        <w:trPr>
          <w:trHeight w:val="225"/>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Facilities-related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103,473</w:t>
            </w: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and related services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70,736</w:t>
            </w:r>
          </w:p>
        </w:tc>
      </w:tr>
      <w:tr>
        <w:trPr>
          <w:trHeight w:val="225"/>
        </w:trPr>
        <w:tc>
          <w:tcPr>
            <w:tcW w:w="640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171,367</w:t>
            </w: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592,754</w:t>
            </w:r>
          </w:p>
        </w:tc>
      </w:tr>
      <w:tr>
        <w:trPr>
          <w:trHeight w:val="225"/>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217,185</w:t>
            </w: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r>
      <w:tr>
        <w:trPr>
          <w:trHeight w:val="225"/>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29,049</w:t>
            </w: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and marketable securities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25"/>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r>
      <w:tr>
        <w:trPr>
          <w:trHeight w:val="225"/>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126,696</w:t>
            </w:r>
          </w:p>
        </w:tc>
      </w:tr>
      <w:tr>
        <w:trPr>
          <w:trHeight w:val="225"/>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from equity method investment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18"/>
        </w:trPr>
        <w:tc>
          <w:tcPr>
            <w:tcW w:w="6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504,918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547,629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523,672</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Other segment items includes marketing programs and related costs, third-party professional service fees, non-income related tax expense and other expenses.</w:t>
      </w:r>
    </w:p>
    <w:p>
      <w:pPr>
        <w:spacing w:after="0" w:line="241" w:lineRule="exact"/>
        <w:rPr>
          <w:sz w:val="20"/>
          <w:szCs w:val="20"/>
          <w:color w:val="auto"/>
        </w:rPr>
      </w:pPr>
    </w:p>
    <w:p>
      <w:pPr>
        <w:jc w:val="both"/>
        <w:ind w:right="40" w:firstLine="318"/>
        <w:spacing w:after="0" w:line="274" w:lineRule="auto"/>
        <w:rPr>
          <w:sz w:val="20"/>
          <w:szCs w:val="20"/>
          <w:color w:val="auto"/>
        </w:rPr>
      </w:pPr>
      <w:r>
        <w:rPr>
          <w:rFonts w:ascii="Times New Roman" w:cs="Times New Roman" w:eastAsia="Times New Roman" w:hAnsi="Times New Roman"/>
          <w:sz w:val="18"/>
          <w:szCs w:val="18"/>
          <w:color w:val="auto"/>
        </w:rPr>
        <w:t>The Company deploys its servers into networks worldwide. Net property and equipment, excluding internal-use software, and operating lease right-of-use assets, located in the U.S. and international locations, as of December 31, 2024 and 2023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9"/>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excluding internal-use software, located in the U.S.</w:t>
            </w: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616,376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639,816</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excluding internal-use software, located internationally</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663,914</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616,750</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located in the U.S.</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624,489</w:t>
            </w:r>
          </w:p>
        </w:tc>
      </w:tr>
      <w:tr>
        <w:trPr>
          <w:trHeight w:val="231"/>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located internationally</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406,723</w:t>
            </w:r>
          </w:p>
        </w:tc>
        <w:tc>
          <w:tcPr>
            <w:tcW w:w="100" w:type="dxa"/>
            <w:vAlign w:val="bottom"/>
          </w:tcPr>
          <w:p>
            <w:pPr>
              <w:spacing w:after="0"/>
              <w:rPr>
                <w:sz w:val="20"/>
                <w:szCs w:val="20"/>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284,145</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4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46"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is responsible for establishing and maintaining adequate internal control over financial reporting.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2" w:lineRule="exact"/>
        <w:rPr>
          <w:sz w:val="20"/>
          <w:szCs w:val="20"/>
          <w:color w:val="auto"/>
        </w:rPr>
      </w:pPr>
    </w:p>
    <w:p>
      <w:pPr>
        <w:ind w:left="640" w:right="540" w:hanging="316"/>
        <w:spacing w:after="0" w:line="25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ind w:left="640" w:right="220" w:hanging="316"/>
        <w:spacing w:after="0" w:line="24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rFonts w:ascii="Times New Roman" w:cs="Times New Roman" w:eastAsia="Times New Roman" w:hAnsi="Times New Roman"/>
          <w:sz w:val="18"/>
          <w:szCs w:val="18"/>
          <w:color w:val="auto"/>
        </w:rPr>
      </w:pPr>
    </w:p>
    <w:p>
      <w:pPr>
        <w:ind w:left="640" w:right="280" w:hanging="316"/>
        <w:spacing w:after="0" w:line="25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the Company’s internal control over financial reporting as of December 31, 2024. Based on this assessment, our management concluded that as of December 31, 2024, our internal control over financial reporting was effective based on those criteria at the reasonable assurance level. In making this assessment, our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w:t>
      </w:r>
    </w:p>
    <w:p>
      <w:pPr>
        <w:spacing w:after="0" w:line="207"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its report, which is included in Item 8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fourth quarter ended December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Director and Officer Trading Arrangements</w:t>
      </w:r>
    </w:p>
    <w:p>
      <w:pPr>
        <w:spacing w:after="0" w:line="246"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The following table describes, for the quarterly period ended December 31, 2024, each trading arrangement for the sale or purchase of Company securities adopted, terminated or for which the amount, pricing or timing provisions were modified by our directors and officers that is either (1) a contract, instruction or written plan intended to satisfy the affirmative defense conditions of Rule 10b5-1(c) (a “Rule 10b5-1 trading arrangement”) or (2) a “non-Rule 10b5-1 trading arrangement” (as defined in Item 408(c) of Regulation S-K):</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900" w:type="dxa"/>
            <w:vAlign w:val="bottom"/>
            <w:tcBorders>
              <w:top w:val="single" w:sz="8" w:color="auto"/>
              <w:left w:val="single" w:sz="8" w:color="auto"/>
              <w:right w:val="single" w:sz="8" w:color="auto"/>
            </w:tcBorders>
            <w:shd w:val="clear" w:color="auto" w:fill="B6B6B6"/>
          </w:tcPr>
          <w:p>
            <w:pPr>
              <w:spacing w:after="0"/>
              <w:rPr>
                <w:sz w:val="16"/>
                <w:szCs w:val="16"/>
                <w:color w:val="auto"/>
              </w:rPr>
            </w:pPr>
          </w:p>
        </w:tc>
        <w:tc>
          <w:tcPr>
            <w:tcW w:w="1880" w:type="dxa"/>
            <w:vAlign w:val="bottom"/>
            <w:tcBorders>
              <w:top w:val="single" w:sz="8" w:color="auto"/>
              <w:right w:val="single" w:sz="8" w:color="auto"/>
            </w:tcBorders>
            <w:vMerge w:val="restart"/>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Action Taken (Date of</w:t>
            </w:r>
          </w:p>
        </w:tc>
        <w:tc>
          <w:tcPr>
            <w:tcW w:w="1860" w:type="dxa"/>
            <w:vAlign w:val="bottom"/>
            <w:tcBorders>
              <w:top w:val="single" w:sz="8" w:color="auto"/>
              <w:right w:val="single" w:sz="8" w:color="auto"/>
            </w:tcBorders>
            <w:vMerge w:val="restart"/>
            <w:shd w:val="clear" w:color="auto" w:fill="B6B6B6"/>
          </w:tcPr>
          <w:p>
            <w:pPr>
              <w:ind w:left="340"/>
              <w:spacing w:after="0"/>
              <w:rPr>
                <w:sz w:val="20"/>
                <w:szCs w:val="20"/>
                <w:color w:val="auto"/>
              </w:rPr>
            </w:pPr>
            <w:r>
              <w:rPr>
                <w:rFonts w:ascii="Times New Roman" w:cs="Times New Roman" w:eastAsia="Times New Roman" w:hAnsi="Times New Roman"/>
                <w:sz w:val="18"/>
                <w:szCs w:val="18"/>
                <w:color w:val="auto"/>
              </w:rPr>
              <w:t>Type of Trading</w:t>
            </w:r>
          </w:p>
        </w:tc>
        <w:tc>
          <w:tcPr>
            <w:tcW w:w="1880" w:type="dxa"/>
            <w:vAlign w:val="bottom"/>
            <w:tcBorders>
              <w:top w:val="single" w:sz="8" w:color="auto"/>
              <w:right w:val="single" w:sz="8" w:color="auto"/>
            </w:tcBorders>
            <w:vMerge w:val="restart"/>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6"/>
              </w:rPr>
              <w:t>Nature of Trading</w:t>
            </w:r>
          </w:p>
        </w:tc>
        <w:tc>
          <w:tcPr>
            <w:tcW w:w="1860" w:type="dxa"/>
            <w:vAlign w:val="bottom"/>
            <w:tcBorders>
              <w:top w:val="single" w:sz="8" w:color="auto"/>
              <w:right w:val="single" w:sz="8" w:color="auto"/>
            </w:tcBorders>
            <w:vMerge w:val="restart"/>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Duration of Trading</w:t>
            </w:r>
          </w:p>
        </w:tc>
        <w:tc>
          <w:tcPr>
            <w:tcW w:w="1880" w:type="dxa"/>
            <w:vAlign w:val="bottom"/>
            <w:tcBorders>
              <w:top w:val="single" w:sz="8" w:color="auto"/>
              <w:right w:val="single" w:sz="8" w:color="auto"/>
            </w:tcBorders>
            <w:shd w:val="clear" w:color="auto" w:fill="B6B6B6"/>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Aggregate Number of</w:t>
            </w:r>
          </w:p>
        </w:tc>
        <w:tc>
          <w:tcPr>
            <w:tcW w:w="0" w:type="dxa"/>
            <w:vAlign w:val="bottom"/>
          </w:tcPr>
          <w:p>
            <w:pPr>
              <w:spacing w:after="0"/>
              <w:rPr>
                <w:sz w:val="1"/>
                <w:szCs w:val="1"/>
                <w:color w:val="auto"/>
              </w:rPr>
            </w:pPr>
          </w:p>
        </w:tc>
      </w:tr>
      <w:tr>
        <w:trPr>
          <w:trHeight w:val="172"/>
        </w:trPr>
        <w:tc>
          <w:tcPr>
            <w:tcW w:w="1900" w:type="dxa"/>
            <w:vAlign w:val="bottom"/>
            <w:tcBorders>
              <w:left w:val="single" w:sz="8" w:color="auto"/>
              <w:right w:val="single" w:sz="8" w:color="auto"/>
            </w:tcBorders>
            <w:shd w:val="clear" w:color="auto" w:fill="B6B6B6"/>
          </w:tcPr>
          <w:p>
            <w:pPr>
              <w:spacing w:after="0"/>
              <w:rPr>
                <w:sz w:val="14"/>
                <w:szCs w:val="14"/>
                <w:color w:val="auto"/>
              </w:rPr>
            </w:pPr>
          </w:p>
        </w:tc>
        <w:tc>
          <w:tcPr>
            <w:tcW w:w="1880" w:type="dxa"/>
            <w:vAlign w:val="bottom"/>
            <w:tcBorders>
              <w:right w:val="single" w:sz="8" w:color="auto"/>
            </w:tcBorders>
            <w:vMerge w:val="continue"/>
            <w:shd w:val="clear" w:color="auto" w:fill="B6B6B6"/>
          </w:tcPr>
          <w:p>
            <w:pPr>
              <w:spacing w:after="0"/>
              <w:rPr>
                <w:sz w:val="14"/>
                <w:szCs w:val="14"/>
                <w:color w:val="auto"/>
              </w:rPr>
            </w:pPr>
          </w:p>
        </w:tc>
        <w:tc>
          <w:tcPr>
            <w:tcW w:w="1860" w:type="dxa"/>
            <w:vAlign w:val="bottom"/>
            <w:tcBorders>
              <w:right w:val="single" w:sz="8" w:color="auto"/>
            </w:tcBorders>
            <w:vMerge w:val="continue"/>
            <w:shd w:val="clear" w:color="auto" w:fill="B6B6B6"/>
          </w:tcPr>
          <w:p>
            <w:pPr>
              <w:spacing w:after="0"/>
              <w:rPr>
                <w:sz w:val="14"/>
                <w:szCs w:val="14"/>
                <w:color w:val="auto"/>
              </w:rPr>
            </w:pPr>
          </w:p>
        </w:tc>
        <w:tc>
          <w:tcPr>
            <w:tcW w:w="1880" w:type="dxa"/>
            <w:vAlign w:val="bottom"/>
            <w:tcBorders>
              <w:right w:val="single" w:sz="8" w:color="auto"/>
            </w:tcBorders>
            <w:vMerge w:val="continue"/>
            <w:shd w:val="clear" w:color="auto" w:fill="B6B6B6"/>
          </w:tcPr>
          <w:p>
            <w:pPr>
              <w:spacing w:after="0"/>
              <w:rPr>
                <w:sz w:val="14"/>
                <w:szCs w:val="14"/>
                <w:color w:val="auto"/>
              </w:rPr>
            </w:pPr>
          </w:p>
        </w:tc>
        <w:tc>
          <w:tcPr>
            <w:tcW w:w="1860" w:type="dxa"/>
            <w:vAlign w:val="bottom"/>
            <w:tcBorders>
              <w:right w:val="single" w:sz="8" w:color="auto"/>
            </w:tcBorders>
            <w:vMerge w:val="continue"/>
            <w:shd w:val="clear" w:color="auto" w:fill="B6B6B6"/>
          </w:tcPr>
          <w:p>
            <w:pPr>
              <w:spacing w:after="0"/>
              <w:rPr>
                <w:sz w:val="14"/>
                <w:szCs w:val="14"/>
                <w:color w:val="auto"/>
              </w:rPr>
            </w:pPr>
          </w:p>
        </w:tc>
        <w:tc>
          <w:tcPr>
            <w:tcW w:w="1880" w:type="dxa"/>
            <w:vAlign w:val="bottom"/>
            <w:tcBorders>
              <w:right w:val="single" w:sz="8" w:color="auto"/>
            </w:tcBorders>
            <w:shd w:val="clear" w:color="auto" w:fill="B6B6B6"/>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Securities to be</w:t>
            </w:r>
          </w:p>
        </w:tc>
        <w:tc>
          <w:tcPr>
            <w:tcW w:w="0" w:type="dxa"/>
            <w:vAlign w:val="bottom"/>
          </w:tcPr>
          <w:p>
            <w:pPr>
              <w:spacing w:after="0"/>
              <w:rPr>
                <w:sz w:val="1"/>
                <w:szCs w:val="1"/>
                <w:color w:val="auto"/>
              </w:rPr>
            </w:pPr>
          </w:p>
        </w:tc>
      </w:tr>
      <w:tr>
        <w:trPr>
          <w:trHeight w:val="238"/>
        </w:trPr>
        <w:tc>
          <w:tcPr>
            <w:tcW w:w="1900" w:type="dxa"/>
            <w:vAlign w:val="bottom"/>
            <w:tcBorders>
              <w:left w:val="single" w:sz="8" w:color="auto"/>
              <w:bottom w:val="single" w:sz="8" w:color="auto"/>
              <w:right w:val="single" w:sz="8" w:color="auto"/>
            </w:tcBorders>
            <w:shd w:val="clear" w:color="auto" w:fill="B6B6B6"/>
          </w:tcPr>
          <w:p>
            <w:pPr>
              <w:ind w:left="500"/>
              <w:spacing w:after="0"/>
              <w:rPr>
                <w:sz w:val="20"/>
                <w:szCs w:val="20"/>
                <w:color w:val="auto"/>
              </w:rPr>
            </w:pPr>
            <w:r>
              <w:rPr>
                <w:rFonts w:ascii="Times New Roman" w:cs="Times New Roman" w:eastAsia="Times New Roman" w:hAnsi="Times New Roman"/>
                <w:sz w:val="18"/>
                <w:szCs w:val="18"/>
                <w:color w:val="auto"/>
              </w:rPr>
              <w:t>Name (Title)</w:t>
            </w:r>
          </w:p>
        </w:tc>
        <w:tc>
          <w:tcPr>
            <w:tcW w:w="1880" w:type="dxa"/>
            <w:vAlign w:val="bottom"/>
            <w:tcBorders>
              <w:bottom w:val="single" w:sz="8" w:color="auto"/>
              <w:right w:val="single" w:sz="8" w:color="auto"/>
            </w:tcBorders>
            <w:shd w:val="clear" w:color="auto" w:fill="B6B6B6"/>
          </w:tcPr>
          <w:p>
            <w:pPr>
              <w:ind w:left="660"/>
              <w:spacing w:after="0"/>
              <w:rPr>
                <w:sz w:val="20"/>
                <w:szCs w:val="20"/>
                <w:color w:val="auto"/>
              </w:rPr>
            </w:pPr>
            <w:r>
              <w:rPr>
                <w:rFonts w:ascii="Times New Roman" w:cs="Times New Roman" w:eastAsia="Times New Roman" w:hAnsi="Times New Roman"/>
                <w:sz w:val="18"/>
                <w:szCs w:val="18"/>
                <w:color w:val="auto"/>
              </w:rPr>
              <w:t>Action)</w:t>
            </w:r>
          </w:p>
        </w:tc>
        <w:tc>
          <w:tcPr>
            <w:tcW w:w="1860" w:type="dxa"/>
            <w:vAlign w:val="bottom"/>
            <w:tcBorders>
              <w:bottom w:val="single" w:sz="8" w:color="auto"/>
              <w:right w:val="single" w:sz="8" w:color="auto"/>
            </w:tcBorders>
            <w:shd w:val="clear" w:color="auto" w:fill="B6B6B6"/>
          </w:tcPr>
          <w:p>
            <w:pPr>
              <w:ind w:left="460"/>
              <w:spacing w:after="0"/>
              <w:rPr>
                <w:sz w:val="20"/>
                <w:szCs w:val="20"/>
                <w:color w:val="auto"/>
              </w:rPr>
            </w:pPr>
            <w:r>
              <w:rPr>
                <w:rFonts w:ascii="Times New Roman" w:cs="Times New Roman" w:eastAsia="Times New Roman" w:hAnsi="Times New Roman"/>
                <w:sz w:val="18"/>
                <w:szCs w:val="18"/>
                <w:color w:val="auto"/>
              </w:rPr>
              <w:t>Arrangement</w:t>
            </w:r>
          </w:p>
        </w:tc>
        <w:tc>
          <w:tcPr>
            <w:tcW w:w="1880" w:type="dxa"/>
            <w:vAlign w:val="bottom"/>
            <w:tcBorders>
              <w:bottom w:val="single" w:sz="8" w:color="auto"/>
              <w:right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1860" w:type="dxa"/>
            <w:vAlign w:val="bottom"/>
            <w:tcBorders>
              <w:bottom w:val="single" w:sz="8" w:color="auto"/>
              <w:right w:val="single" w:sz="8" w:color="auto"/>
            </w:tcBorders>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Arrangement</w:t>
            </w:r>
          </w:p>
        </w:tc>
        <w:tc>
          <w:tcPr>
            <w:tcW w:w="1880" w:type="dxa"/>
            <w:vAlign w:val="bottom"/>
            <w:tcBorders>
              <w:bottom w:val="single" w:sz="8" w:color="auto"/>
              <w:right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Purchased or Sold</w:t>
            </w:r>
          </w:p>
        </w:tc>
        <w:tc>
          <w:tcPr>
            <w:tcW w:w="0" w:type="dxa"/>
            <w:vAlign w:val="bottom"/>
          </w:tcPr>
          <w:p>
            <w:pPr>
              <w:spacing w:after="0"/>
              <w:rPr>
                <w:sz w:val="1"/>
                <w:szCs w:val="1"/>
                <w:color w:val="auto"/>
              </w:rPr>
            </w:pPr>
          </w:p>
        </w:tc>
      </w:tr>
      <w:tr>
        <w:trPr>
          <w:trHeight w:val="166"/>
        </w:trPr>
        <w:tc>
          <w:tcPr>
            <w:tcW w:w="1900" w:type="dxa"/>
            <w:vAlign w:val="bottom"/>
            <w:tcBorders>
              <w:left w:val="single" w:sz="8" w:color="auto"/>
              <w:right w:val="single" w:sz="8" w:color="auto"/>
            </w:tcBorders>
          </w:tcPr>
          <w:p>
            <w:pPr>
              <w:ind w:left="40"/>
              <w:spacing w:after="0" w:line="165" w:lineRule="exact"/>
              <w:rPr>
                <w:sz w:val="20"/>
                <w:szCs w:val="20"/>
                <w:color w:val="auto"/>
              </w:rPr>
            </w:pPr>
            <w:r>
              <w:rPr>
                <w:rFonts w:ascii="Times New Roman" w:cs="Times New Roman" w:eastAsia="Times New Roman" w:hAnsi="Times New Roman"/>
                <w:sz w:val="18"/>
                <w:szCs w:val="18"/>
                <w:color w:val="auto"/>
              </w:rPr>
              <w:t>Adam Karon (Chief</w:t>
            </w:r>
          </w:p>
        </w:tc>
        <w:tc>
          <w:tcPr>
            <w:tcW w:w="1880" w:type="dxa"/>
            <w:vAlign w:val="bottom"/>
            <w:tcBorders>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rPr>
              <w:t>Adoption (December 2,</w:t>
            </w:r>
          </w:p>
        </w:tc>
        <w:tc>
          <w:tcPr>
            <w:tcW w:w="1860" w:type="dxa"/>
            <w:vAlign w:val="bottom"/>
            <w:tcBorders>
              <w:right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Rule 10b5-1 trading</w:t>
            </w:r>
          </w:p>
        </w:tc>
        <w:tc>
          <w:tcPr>
            <w:tcW w:w="1880" w:type="dxa"/>
            <w:vAlign w:val="bottom"/>
            <w:tcBorders>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rPr>
              <w:t>Sales</w:t>
            </w:r>
          </w:p>
        </w:tc>
        <w:tc>
          <w:tcPr>
            <w:tcW w:w="1860" w:type="dxa"/>
            <w:vAlign w:val="bottom"/>
            <w:tcBorders>
              <w:right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Until June 2, 2025, or</w:t>
            </w:r>
          </w:p>
        </w:tc>
        <w:tc>
          <w:tcPr>
            <w:tcW w:w="1880" w:type="dxa"/>
            <w:vAlign w:val="bottom"/>
            <w:tcBorders>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rPr>
              <w:t>Up to 46,778 shares of</w:t>
            </w:r>
          </w:p>
        </w:tc>
        <w:tc>
          <w:tcPr>
            <w:tcW w:w="0" w:type="dxa"/>
            <w:vAlign w:val="bottom"/>
          </w:tcPr>
          <w:p>
            <w:pPr>
              <w:spacing w:after="0"/>
              <w:rPr>
                <w:sz w:val="1"/>
                <w:szCs w:val="1"/>
                <w:color w:val="auto"/>
              </w:rPr>
            </w:pPr>
          </w:p>
        </w:tc>
      </w:tr>
      <w:tr>
        <w:trPr>
          <w:trHeight w:val="180"/>
        </w:trPr>
        <w:tc>
          <w:tcPr>
            <w:tcW w:w="190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Operating Officer and</w:t>
            </w:r>
          </w:p>
        </w:tc>
        <w:tc>
          <w:tcPr>
            <w:tcW w:w="1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18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arrangement</w:t>
            </w:r>
          </w:p>
        </w:tc>
        <w:tc>
          <w:tcPr>
            <w:tcW w:w="18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such earlier date upon</w:t>
            </w:r>
          </w:p>
        </w:tc>
        <w:tc>
          <w:tcPr>
            <w:tcW w:w="1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177"/>
        </w:trPr>
        <w:tc>
          <w:tcPr>
            <w:tcW w:w="190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General Manager of the</w:t>
            </w:r>
          </w:p>
        </w:tc>
        <w:tc>
          <w:tcPr>
            <w:tcW w:w="18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w w:val="99"/>
              </w:rPr>
              <w:t>which all transactions are</w:t>
            </w: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900" w:type="dxa"/>
            <w:vAlign w:val="bottom"/>
            <w:tcBorders>
              <w:left w:val="single" w:sz="8" w:color="auto"/>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color w:val="auto"/>
              </w:rPr>
              <w:t>Cloud Technology</w:t>
            </w: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completed or expire</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Group)</w:t>
            </w:r>
          </w:p>
        </w:tc>
        <w:tc>
          <w:tcPr>
            <w:tcW w:w="18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without execution</w:t>
            </w: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Mani Sundaram</w:t>
            </w:r>
          </w:p>
        </w:tc>
        <w:tc>
          <w:tcPr>
            <w:tcW w:w="188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Adoption (December 4,</w:t>
            </w:r>
          </w:p>
        </w:tc>
        <w:tc>
          <w:tcPr>
            <w:tcW w:w="186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Rule 10b5-1 trading</w:t>
            </w:r>
          </w:p>
        </w:tc>
        <w:tc>
          <w:tcPr>
            <w:tcW w:w="188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Sales</w:t>
            </w:r>
          </w:p>
        </w:tc>
        <w:tc>
          <w:tcPr>
            <w:tcW w:w="186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Until September 1, 2025,</w:t>
            </w:r>
          </w:p>
        </w:tc>
        <w:tc>
          <w:tcPr>
            <w:tcW w:w="188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Up to 16,867 shares of</w:t>
            </w:r>
          </w:p>
        </w:tc>
        <w:tc>
          <w:tcPr>
            <w:tcW w:w="0" w:type="dxa"/>
            <w:vAlign w:val="bottom"/>
          </w:tcPr>
          <w:p>
            <w:pPr>
              <w:spacing w:after="0"/>
              <w:rPr>
                <w:sz w:val="1"/>
                <w:szCs w:val="1"/>
                <w:color w:val="auto"/>
              </w:rPr>
            </w:pPr>
          </w:p>
        </w:tc>
      </w:tr>
      <w:tr>
        <w:trPr>
          <w:trHeight w:val="180"/>
        </w:trPr>
        <w:tc>
          <w:tcPr>
            <w:tcW w:w="190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w w:val="96"/>
              </w:rPr>
              <w:t>(Executive Vice President</w:t>
            </w:r>
          </w:p>
        </w:tc>
        <w:tc>
          <w:tcPr>
            <w:tcW w:w="1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18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arrangement</w:t>
            </w:r>
          </w:p>
        </w:tc>
        <w:tc>
          <w:tcPr>
            <w:tcW w:w="18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or such earlier date upon</w:t>
            </w:r>
          </w:p>
        </w:tc>
        <w:tc>
          <w:tcPr>
            <w:tcW w:w="1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177"/>
        </w:trPr>
        <w:tc>
          <w:tcPr>
            <w:tcW w:w="190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and General Manager of</w:t>
            </w:r>
          </w:p>
        </w:tc>
        <w:tc>
          <w:tcPr>
            <w:tcW w:w="18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w w:val="99"/>
              </w:rPr>
              <w:t>which all transactions are</w:t>
            </w: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900" w:type="dxa"/>
            <w:vAlign w:val="bottom"/>
            <w:tcBorders>
              <w:left w:val="single" w:sz="8" w:color="auto"/>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color w:val="auto"/>
              </w:rPr>
              <w:t>the Security Technology</w:t>
            </w: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completed or expire</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Group)</w:t>
            </w:r>
          </w:p>
        </w:tc>
        <w:tc>
          <w:tcPr>
            <w:tcW w:w="18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without execution</w:t>
            </w: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left="240" w:right="20" w:hanging="234"/>
        <w:spacing w:after="0" w:line="261" w:lineRule="auto"/>
        <w:tabs>
          <w:tab w:leader="none" w:pos="20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 10b5-1 trading arrangement provides for the sale of a percentage of shares to be received upon future vesting of certain outstanding equity awards, net of any shares withheld by us to satisfy applicable taxes. The number of shares to be withheld, and thus the exact number of shares to be sold pursuant to Mr. Karon's Rule 10b5-1 trading arrangement, can only be determined upon the occurrence of future vesting events. For purposes of this disclosure, we have reported the maximum aggregate number of shares to be sold without subtracting any shares to be withheld upon future vesting events.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6" w:lineRule="exact"/>
        <w:rPr>
          <w:sz w:val="20"/>
          <w:szCs w:val="20"/>
          <w:color w:val="auto"/>
        </w:rPr>
      </w:pPr>
    </w:p>
    <w:p>
      <w:pPr>
        <w:ind w:right="280" w:firstLine="318"/>
        <w:spacing w:after="0" w:line="304"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that will be contained in our Proxy Statement for the 2025 Annual Meeting of Shareholders to be filed with the SEC within 120 days of the fiscal year ended December 31, 2024 (the "2025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2025 Proxy Statement.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2025 Proxy Statement.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2025 Proxy Statement.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the information that will be contained in our 2025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46"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annual report on Form 10-K</w:t>
      </w:r>
    </w:p>
    <w:p>
      <w:pPr>
        <w:spacing w:after="0" w:line="24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(included in Item 8 of this annual report on Form 10-K):</w:t>
      </w:r>
    </w:p>
    <w:p>
      <w:pPr>
        <w:spacing w:after="0" w:line="243"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2024 and 2023</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the years ended December 31, 2024, 2023 and 2022</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2024, 2023 and 2022</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2024, 2023 and 2022</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2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43" w:lineRule="exact"/>
        <w:rPr>
          <w:rFonts w:ascii="Times New Roman" w:cs="Times New Roman" w:eastAsia="Times New Roman" w:hAnsi="Times New Roman"/>
          <w:sz w:val="18"/>
          <w:szCs w:val="18"/>
          <w:color w:val="auto"/>
        </w:rPr>
      </w:pPr>
    </w:p>
    <w:p>
      <w:pPr>
        <w:ind w:left="9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are omitted as they are either not required or the information is otherwise included in the consolidated financial statements.</w:t>
      </w:r>
    </w:p>
    <w:p>
      <w:pPr>
        <w:spacing w:after="0" w:line="189"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76"/>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gridSpan w:val="27"/>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89"/>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Incorporated by Reference</w:t>
            </w:r>
          </w:p>
        </w:tc>
      </w:tr>
      <w:tr>
        <w:trPr>
          <w:trHeight w:val="218"/>
        </w:trPr>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Exhibit No.</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20" w:type="dxa"/>
            <w:vAlign w:val="bottom"/>
            <w:gridSpan w:val="30"/>
          </w:tcPr>
          <w:p>
            <w:pPr>
              <w:ind w:left="120"/>
              <w:spacing w:after="0"/>
              <w:rPr>
                <w:sz w:val="20"/>
                <w:szCs w:val="20"/>
                <w:color w:val="auto"/>
              </w:rPr>
            </w:pPr>
            <w:r>
              <w:rPr>
                <w:rFonts w:ascii="Times New Roman" w:cs="Times New Roman" w:eastAsia="Times New Roman" w:hAnsi="Times New Roman"/>
                <w:sz w:val="18"/>
                <w:szCs w:val="18"/>
                <w:color w:val="auto"/>
              </w:rPr>
              <w:t>Exhibit Description</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w:t>
            </w:r>
          </w:p>
        </w:tc>
        <w:tc>
          <w:tcPr>
            <w:tcW w:w="1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Exhibit No.</w:t>
            </w:r>
          </w:p>
        </w:tc>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Filed</w:t>
            </w:r>
          </w:p>
        </w:tc>
      </w:tr>
      <w:tr>
        <w:trPr>
          <w:trHeight w:val="179"/>
        </w:trPr>
        <w:tc>
          <w:tcPr>
            <w:tcW w:w="116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760" w:type="dxa"/>
            <w:vAlign w:val="bottom"/>
            <w:tcBorders>
              <w:top w:val="single" w:sz="8" w:color="auto"/>
              <w:bottom w:val="single" w:sz="8" w:color="0000FF"/>
            </w:tcBorders>
            <w:gridSpan w:val="32"/>
          </w:tcPr>
          <w:p>
            <w:pPr>
              <w:spacing w:after="0" w:line="179" w:lineRule="exact"/>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Amended and Restated Certificate of Incorporation of Akamai Technologies, Inc.</w:t>
              </w:r>
            </w:hyperlink>
          </w:p>
        </w:tc>
        <w:tc>
          <w:tcPr>
            <w:tcW w:w="220" w:type="dxa"/>
            <w:vAlign w:val="bottom"/>
            <w:tcBorders>
              <w:top w:val="single" w:sz="8" w:color="auto"/>
            </w:tcBorders>
            <w:gridSpan w:val="7"/>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5"/>
                <w:szCs w:val="15"/>
                <w:color w:val="auto"/>
              </w:rPr>
            </w:pPr>
          </w:p>
        </w:tc>
        <w:tc>
          <w:tcPr>
            <w:tcW w:w="116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188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May 16, 2024</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15"/>
          </w:tcPr>
          <w:p>
            <w:pPr>
              <w:spacing w:after="0" w:line="205" w:lineRule="exact"/>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Amended and Restated Bylaws of Akamai Technologies, Inc.</w:t>
              </w:r>
            </w:hyperlink>
          </w:p>
        </w:tc>
        <w:tc>
          <w:tcPr>
            <w:tcW w:w="1740" w:type="dxa"/>
            <w:vAlign w:val="bottom"/>
            <w:gridSpan w:val="25"/>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December 16, 2022</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bottom w:val="single" w:sz="8" w:color="0000FF"/>
            </w:tcBorders>
            <w:gridSpan w:val="37"/>
          </w:tcPr>
          <w:p>
            <w:pPr>
              <w:spacing w:after="0" w:line="205" w:lineRule="exact"/>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Amendment No. 1 to Amended and Restated Bylaws of Akamai Technologies, Inc.</w:t>
              </w:r>
            </w:hyperlink>
          </w:p>
        </w:tc>
        <w:tc>
          <w:tcPr>
            <w:tcW w:w="200" w:type="dxa"/>
            <w:vAlign w:val="bottom"/>
            <w:gridSpan w:val="3"/>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September 19, 2023</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FF"/>
            </w:tcBorders>
            <w:gridSpan w:val="11"/>
          </w:tcPr>
          <w:p>
            <w:pPr>
              <w:spacing w:after="0" w:line="205" w:lineRule="exact"/>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Specimen common stock certificate</w:t>
              </w:r>
            </w:hyperlink>
          </w:p>
        </w:tc>
        <w:tc>
          <w:tcPr>
            <w:tcW w:w="3560" w:type="dxa"/>
            <w:vAlign w:val="bottom"/>
            <w:gridSpan w:val="29"/>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S-1/A</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October 13, 1999</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Indenture (including form of Notes) with respect to Akamai’s 0.125% Convertible</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May 22, 2018</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Senior Notes due 2025, dated as of May 21, 2018, between Akamai and U.S.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gridSpan w:val="35"/>
          </w:tcPr>
          <w:p>
            <w:pPr>
              <w:spacing w:after="0" w:line="165"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National Association,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1"/>
          </w:tcPr>
          <w:p>
            <w:pPr>
              <w:spacing w:after="0" w:line="205"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Indenture (including form of Notes) with respect to the Registrant’s 0.375%</w:t>
              </w:r>
            </w:hyperlink>
          </w:p>
        </w:tc>
        <w:tc>
          <w:tcPr>
            <w:tcW w:w="720" w:type="dxa"/>
            <w:vAlign w:val="bottom"/>
            <w:gridSpan w:val="19"/>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August 16, 2019</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80" w:type="dxa"/>
            <w:vAlign w:val="bottom"/>
            <w:gridSpan w:val="40"/>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Convertible Senior Notes due September 1, 2027, dated as of August 16, 2019,</w:t>
              </w:r>
            </w:hyperlink>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26"/>
          </w:tcPr>
          <w:p>
            <w:pPr>
              <w:spacing w:after="0" w:line="165"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between the Registrant and U.S. Bank National Association, as trustee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20"/>
          </w:tcPr>
          <w:p>
            <w:pPr>
              <w:spacing w:after="0" w:line="205" w:lineRule="exact"/>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Indenture (including form of Notes) with respect to the Registrant's 1.125%</w:t>
              </w:r>
            </w:hyperlink>
          </w:p>
        </w:tc>
        <w:tc>
          <w:tcPr>
            <w:tcW w:w="740" w:type="dxa"/>
            <w:vAlign w:val="bottom"/>
            <w:gridSpan w:val="20"/>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August 18, 2023</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80" w:type="dxa"/>
            <w:vAlign w:val="bottom"/>
            <w:gridSpan w:val="40"/>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Convertible Senior Notes due February 15, 2029, dated as of August 18, 2023,</w:t>
              </w:r>
            </w:hyperlink>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tcBorders>
              <w:top w:val="single" w:sz="8" w:color="0000FF"/>
            </w:tcBorders>
            <w:gridSpan w:val="25"/>
          </w:tcPr>
          <w:p>
            <w:pPr>
              <w:spacing w:after="0" w:line="165"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between Akamai Technologies, Inc. and U.S. Bank Trust Company, National</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Association, as trustee</w:t>
              </w:r>
            </w:hyperlink>
          </w:p>
        </w:tc>
        <w:tc>
          <w:tcPr>
            <w:tcW w:w="384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First Supplemental Indenture with respect to 0.125% Convertible Senior Notes due</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December 16, 2021</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2025, dated December 16, 2021, between Akamai Technologies, Inc. and U.S. Bank</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40" w:type="dxa"/>
            <w:vAlign w:val="bottom"/>
            <w:gridSpan w:val="38"/>
          </w:tcPr>
          <w:p>
            <w:pPr>
              <w:spacing w:after="0" w:line="165"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National Association, as trustee</w:t>
              </w:r>
            </w:hyperlink>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First Supplemental Indenture with respect to 0.375% Convertible Senior Notes due</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December 16, 2021</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2027, dated December 16, 2021, between Akamai Technologies, Inc. and U.S. Bank</w:t>
              </w:r>
            </w:hyperlink>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40" w:type="dxa"/>
            <w:vAlign w:val="bottom"/>
            <w:tcBorders>
              <w:top w:val="single" w:sz="8" w:color="0000FF"/>
            </w:tcBorders>
            <w:gridSpan w:val="38"/>
          </w:tcPr>
          <w:p>
            <w:pPr>
              <w:spacing w:after="0" w:line="165"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National Association, as trustee</w:t>
              </w:r>
            </w:hyperlink>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Description of Registrant's Securities Registered Under Section 12 of the Exchange</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February 28, 2020</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37"/>
          </w:tcPr>
          <w:p>
            <w:pPr>
              <w:spacing w:after="0" w:line="152"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Act</w:t>
              </w:r>
            </w:hyperlink>
          </w:p>
        </w:tc>
        <w:tc>
          <w:tcPr>
            <w:tcW w:w="20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7"/>
              </w:rPr>
            </w:pPr>
            <w:hyperlink r:id="rId117">
              <w:r>
                <w:rPr>
                  <w:rFonts w:ascii="Times New Roman" w:cs="Times New Roman" w:eastAsia="Times New Roman" w:hAnsi="Times New Roman"/>
                  <w:sz w:val="18"/>
                  <w:szCs w:val="18"/>
                  <w:color w:val="0000FF"/>
                  <w:w w:val="97"/>
                </w:rPr>
                <w:t>Amended and Restated 1999 Employee Stock Purchase Plan of the Registrant</w:t>
              </w:r>
            </w:hyperlink>
          </w:p>
        </w:tc>
        <w:tc>
          <w:tcPr>
            <w:tcW w:w="580" w:type="dxa"/>
            <w:vAlign w:val="bottom"/>
            <w:gridSpan w:val="17"/>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2006</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to Amended and Restated 1999 Employee Stock Purchase Plan of the</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May 12, 2008</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Registrant</w:t>
              </w:r>
            </w:hyperlink>
          </w:p>
        </w:tc>
        <w:tc>
          <w:tcPr>
            <w:tcW w:w="5100" w:type="dxa"/>
            <w:vAlign w:val="bottom"/>
            <w:tcBorders>
              <w:top w:val="single" w:sz="8" w:color="0000FF"/>
            </w:tcBorders>
            <w:gridSpan w:val="31"/>
          </w:tcPr>
          <w:p>
            <w:pPr>
              <w:spacing w:after="0"/>
              <w:rPr>
                <w:sz w:val="13"/>
                <w:szCs w:val="13"/>
                <w:color w:val="auto"/>
              </w:rPr>
            </w:pPr>
          </w:p>
        </w:tc>
        <w:tc>
          <w:tcPr>
            <w:tcW w:w="260" w:type="dxa"/>
            <w:vAlign w:val="bottom"/>
            <w:gridSpan w:val="6"/>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2009 Akamai Technologies, Inc. Stock Incentive Plan, as amended</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2011</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sz w:val="20"/>
                <w:szCs w:val="20"/>
                <w:color w:val="auto"/>
              </w:rPr>
            </w:pPr>
            <w:r>
              <w:rPr>
                <w:rFonts w:ascii="Times New Roman" w:cs="Times New Roman" w:eastAsia="Times New Roman" w:hAnsi="Times New Roman"/>
                <w:sz w:val="18"/>
                <w:szCs w:val="18"/>
                <w:color w:val="0000FF"/>
              </w:rPr>
              <w:t>Akamai Technologies, Inc. Second Amended and Restated 2013 Stock Incentive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7"/>
                <w:szCs w:val="17"/>
                <w:color w:val="0000FF"/>
              </w:rPr>
              <w:t>Plan, as amended</w:t>
            </w:r>
          </w:p>
        </w:tc>
        <w:tc>
          <w:tcPr>
            <w:tcW w:w="4480" w:type="dxa"/>
            <w:vAlign w:val="bottom"/>
            <w:tcBorders>
              <w:top w:val="single" w:sz="8" w:color="0000FF"/>
            </w:tcBorders>
            <w:gridSpan w:val="25"/>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9"/>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Linode Limited Liability Company 2022 RSU Plan</w:t>
              </w:r>
            </w:hyperlink>
          </w:p>
        </w:tc>
        <w:tc>
          <w:tcPr>
            <w:tcW w:w="2460" w:type="dxa"/>
            <w:vAlign w:val="bottom"/>
            <w:gridSpan w:val="27"/>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21, 2022</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Restricted Stock Unit Agreement for use under the 2013 Stock Incentive</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May 09, 2019</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Plan (time vesting)</w:t>
              </w:r>
            </w:hyperlink>
          </w:p>
        </w:tc>
        <w:tc>
          <w:tcPr>
            <w:tcW w:w="4380" w:type="dxa"/>
            <w:vAlign w:val="bottom"/>
            <w:tcBorders>
              <w:top w:val="single" w:sz="8" w:color="0000FF"/>
            </w:tcBorders>
            <w:gridSpan w:val="25"/>
          </w:tcPr>
          <w:p>
            <w:pPr>
              <w:spacing w:after="0"/>
              <w:rPr>
                <w:sz w:val="13"/>
                <w:szCs w:val="13"/>
                <w:color w:val="auto"/>
              </w:rPr>
            </w:pPr>
          </w:p>
        </w:tc>
        <w:tc>
          <w:tcPr>
            <w:tcW w:w="340" w:type="dxa"/>
            <w:vAlign w:val="bottom"/>
            <w:gridSpan w:val="9"/>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4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Performance-Based Restricted Stock Unit Agreement for use under the</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2013 Stock Incentive Plan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4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Non-Qualified Stock Option Agreement for use under the 2013 Stock</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09, 2013</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24"/>
          </w:tcPr>
          <w:p>
            <w:pPr>
              <w:spacing w:after="0" w:line="152"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Incentive Plan</w:t>
              </w:r>
            </w:hyperlink>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4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Deferred Stock Unit Agreement for use under the 2013 Stock Incentive</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09, 2013</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Plan</w:t>
              </w:r>
            </w:hyperlink>
          </w:p>
        </w:tc>
        <w:tc>
          <w:tcPr>
            <w:tcW w:w="40" w:type="dxa"/>
            <w:vAlign w:val="bottom"/>
          </w:tcPr>
          <w:p>
            <w:pPr>
              <w:spacing w:after="0"/>
              <w:rPr>
                <w:sz w:val="13"/>
                <w:szCs w:val="13"/>
                <w:color w:val="auto"/>
              </w:rPr>
            </w:pPr>
          </w:p>
        </w:tc>
        <w:tc>
          <w:tcPr>
            <w:tcW w:w="40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4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Performance-Based Vesting Restricted Stock Unit Agreement with</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Retirement Provision</w:t>
              </w:r>
            </w:hyperlink>
          </w:p>
        </w:tc>
        <w:tc>
          <w:tcPr>
            <w:tcW w:w="3820" w:type="dxa"/>
            <w:vAlign w:val="bottom"/>
            <w:tcBorders>
              <w:top w:val="single" w:sz="8" w:color="0000FF"/>
            </w:tcBorders>
            <w:gridSpan w:val="12"/>
          </w:tcPr>
          <w:p>
            <w:pPr>
              <w:spacing w:after="0"/>
              <w:rPr>
                <w:sz w:val="13"/>
                <w:szCs w:val="13"/>
                <w:color w:val="auto"/>
              </w:rPr>
            </w:pPr>
          </w:p>
        </w:tc>
        <w:tc>
          <w:tcPr>
            <w:tcW w:w="360" w:type="dxa"/>
            <w:vAlign w:val="bottom"/>
            <w:gridSpan w:val="10"/>
          </w:tcPr>
          <w:p>
            <w:pPr>
              <w:spacing w:after="0"/>
              <w:rPr>
                <w:sz w:val="13"/>
                <w:szCs w:val="13"/>
                <w:color w:val="auto"/>
              </w:rPr>
            </w:pPr>
          </w:p>
        </w:tc>
        <w:tc>
          <w:tcPr>
            <w:tcW w:w="40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4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Non-Employee Director Compensation Plan</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08, 2024</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tcBorders>
            <w:gridSpan w:val="12"/>
          </w:tcPr>
          <w:p>
            <w:pPr>
              <w:spacing w:after="0" w:line="205"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Executive Bonus Plan</w:t>
              </w:r>
            </w:hyperlink>
          </w:p>
        </w:tc>
        <w:tc>
          <w:tcPr>
            <w:tcW w:w="2960" w:type="dxa"/>
            <w:vAlign w:val="bottom"/>
            <w:gridSpan w:val="28"/>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February 24, 2023</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FF"/>
            </w:tcBorders>
            <w:gridSpan w:val="6"/>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FF"/>
            </w:tcBorders>
            <w:gridSpan w:val="18"/>
          </w:tcPr>
          <w:p>
            <w:pPr>
              <w:spacing w:after="0" w:line="205"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Akamai Technologies, Inc. Executive Severance Pay Plan, as amended</w:t>
              </w:r>
            </w:hyperlink>
          </w:p>
        </w:tc>
        <w:tc>
          <w:tcPr>
            <w:tcW w:w="1080" w:type="dxa"/>
            <w:vAlign w:val="bottom"/>
            <w:gridSpan w:val="22"/>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October 02, 2019</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Change in Control and Severance Agreement</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February 25, 2022</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FF"/>
            </w:tcBorders>
            <w:gridSpan w:val="6"/>
            <w:shd w:val="clear" w:color="auto" w:fill="0000FF"/>
          </w:tcPr>
          <w:p>
            <w:pPr>
              <w:spacing w:after="0" w:line="20" w:lineRule="exact"/>
              <w:rPr>
                <w:sz w:val="1"/>
                <w:szCs w:val="1"/>
                <w:color w:val="auto"/>
              </w:rPr>
            </w:pPr>
          </w:p>
        </w:tc>
        <w:tc>
          <w:tcPr>
            <w:tcW w:w="2440" w:type="dxa"/>
            <w:vAlign w:val="bottom"/>
            <w:gridSpan w:val="8"/>
            <w:shd w:val="clear" w:color="auto" w:fill="0000FF"/>
          </w:tcPr>
          <w:p>
            <w:pPr>
              <w:spacing w:after="0" w:line="20" w:lineRule="exact"/>
              <w:rPr>
                <w:sz w:val="1"/>
                <w:szCs w:val="1"/>
                <w:color w:val="auto"/>
              </w:rPr>
            </w:pPr>
          </w:p>
        </w:tc>
        <w:tc>
          <w:tcPr>
            <w:tcW w:w="1880" w:type="dxa"/>
            <w:vAlign w:val="bottom"/>
            <w:gridSpan w:val="15"/>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40"/>
          </w:tcPr>
          <w:p>
            <w:pPr>
              <w:spacing w:after="0" w:line="205"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Akamai Technologies, Inc. Amended and Restated U.S. Non-Qualified Deferred</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November 08, 2024</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Compensation Plan</w:t>
              </w:r>
            </w:hyperlink>
          </w:p>
        </w:tc>
        <w:tc>
          <w:tcPr>
            <w:tcW w:w="40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81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Incorporated by Reference</w:t>
            </w:r>
          </w:p>
        </w:tc>
      </w:tr>
      <w:tr>
        <w:trPr>
          <w:trHeight w:val="218"/>
        </w:trPr>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Exhibit No.</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40" w:type="dxa"/>
            <w:vAlign w:val="bottom"/>
            <w:gridSpan w:val="28"/>
          </w:tcPr>
          <w:p>
            <w:pPr>
              <w:ind w:left="140"/>
              <w:spacing w:after="0"/>
              <w:rPr>
                <w:sz w:val="20"/>
                <w:szCs w:val="20"/>
                <w:color w:val="auto"/>
              </w:rPr>
            </w:pPr>
            <w:r>
              <w:rPr>
                <w:rFonts w:ascii="Times New Roman" w:cs="Times New Roman" w:eastAsia="Times New Roman" w:hAnsi="Times New Roman"/>
                <w:sz w:val="18"/>
                <w:szCs w:val="18"/>
                <w:color w:val="auto"/>
              </w:rPr>
              <w:t>Exhibit Description</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w:t>
            </w:r>
          </w:p>
        </w:tc>
        <w:tc>
          <w:tcPr>
            <w:tcW w:w="1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Exhibit No.</w:t>
            </w:r>
          </w:p>
        </w:tc>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Filed</w:t>
            </w:r>
          </w:p>
        </w:tc>
      </w:tr>
      <w:tr>
        <w:trPr>
          <w:trHeight w:val="179"/>
        </w:trPr>
        <w:tc>
          <w:tcPr>
            <w:tcW w:w="116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80" w:type="dxa"/>
            <w:vAlign w:val="bottom"/>
            <w:tcBorders>
              <w:top w:val="single" w:sz="8" w:color="auto"/>
            </w:tcBorders>
            <w:gridSpan w:val="36"/>
          </w:tcPr>
          <w:p>
            <w:pPr>
              <w:spacing w:after="0" w:line="17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Employment Letter Agreement between the Registrant and F. Thomson Leighton</w:t>
              </w:r>
            </w:hyperlink>
          </w:p>
        </w:tc>
        <w:tc>
          <w:tcPr>
            <w:tcW w:w="100" w:type="dxa"/>
            <w:vAlign w:val="bottom"/>
          </w:tcPr>
          <w:p>
            <w:pPr>
              <w:spacing w:after="0"/>
              <w:rPr>
                <w:sz w:val="15"/>
                <w:szCs w:val="15"/>
                <w:color w:val="auto"/>
              </w:rPr>
            </w:pPr>
          </w:p>
        </w:tc>
        <w:tc>
          <w:tcPr>
            <w:tcW w:w="64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5"/>
                <w:szCs w:val="15"/>
                <w:color w:val="auto"/>
              </w:rPr>
            </w:pPr>
          </w:p>
        </w:tc>
        <w:tc>
          <w:tcPr>
            <w:tcW w:w="116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5"/>
                <w:szCs w:val="15"/>
                <w:color w:val="auto"/>
              </w:rPr>
            </w:pPr>
          </w:p>
        </w:tc>
        <w:tc>
          <w:tcPr>
            <w:tcW w:w="188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color w:val="auto"/>
              </w:rPr>
              <w:t>March 01, 2013</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dated February 25, 2013</w:t>
              </w:r>
            </w:hyperlink>
          </w:p>
        </w:tc>
        <w:tc>
          <w:tcPr>
            <w:tcW w:w="40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to Employment Letter Agreement between the Registrant and F.</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17, 2015</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Thomson Leighton dated November 12, 2015</w:t>
              </w:r>
            </w:hyperlink>
          </w:p>
        </w:tc>
        <w:tc>
          <w:tcPr>
            <w:tcW w:w="2200" w:type="dxa"/>
            <w:vAlign w:val="bottom"/>
            <w:tcBorders>
              <w:top w:val="single" w:sz="8" w:color="0000FF"/>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Indenture of Lease for 145 Broadway, Cambridge, Massachusetts dated November</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10, 2016</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w w:val="97"/>
              </w:rPr>
            </w:pPr>
            <w:hyperlink r:id="rId134">
              <w:r>
                <w:rPr>
                  <w:rFonts w:ascii="Times New Roman" w:cs="Times New Roman" w:eastAsia="Times New Roman" w:hAnsi="Times New Roman"/>
                  <w:sz w:val="17"/>
                  <w:szCs w:val="17"/>
                  <w:color w:val="0000FF"/>
                  <w:w w:val="97"/>
                </w:rPr>
                <w:t>7, 2016</w:t>
              </w:r>
            </w:hyperlink>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Must-Take Premises and Right of First Offer Agreement among the Registrant,</w:t>
              </w:r>
            </w:hyperlink>
          </w:p>
        </w:tc>
        <w:tc>
          <w:tcPr>
            <w:tcW w:w="500" w:type="dxa"/>
            <w:vAlign w:val="bottom"/>
            <w:gridSpan w:val="12"/>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10, 2016</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80" w:type="dxa"/>
            <w:vAlign w:val="bottom"/>
            <w:gridSpan w:val="37"/>
          </w:tcPr>
          <w:p>
            <w:pPr>
              <w:spacing w:after="0" w:line="152"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Boston Properties Limited Partnership and the Trustees of Ten Cambridge Center</w:t>
              </w:r>
            </w:hyperlink>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tcBorders>
            <w:gridSpan w:val="30"/>
          </w:tcPr>
          <w:p>
            <w:pPr>
              <w:spacing w:after="0" w:line="165"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Trust dated November 7, 2016</w:t>
              </w:r>
            </w:hyperlink>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bottom w:val="single" w:sz="8" w:color="0000FF"/>
            </w:tcBorders>
            <w:gridSpan w:val="15"/>
          </w:tcPr>
          <w:p>
            <w:pPr>
              <w:spacing w:after="0" w:line="205"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150 Broadway Real Property Lease Dated December 20, 2017</w:t>
              </w:r>
            </w:hyperlink>
          </w:p>
        </w:tc>
        <w:tc>
          <w:tcPr>
            <w:tcW w:w="1680" w:type="dxa"/>
            <w:vAlign w:val="bottom"/>
            <w:gridSpan w:val="22"/>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March 01, 2018</w:t>
            </w:r>
          </w:p>
        </w:tc>
      </w:tr>
      <w:tr>
        <w:trPr>
          <w:trHeight w:val="205"/>
        </w:trPr>
        <w:tc>
          <w:tcPr>
            <w:tcW w:w="128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10.21†</w:t>
            </w:r>
          </w:p>
        </w:tc>
        <w:tc>
          <w:tcPr>
            <w:tcW w:w="6080" w:type="dxa"/>
            <w:vAlign w:val="bottom"/>
            <w:gridSpan w:val="37"/>
          </w:tcPr>
          <w:p>
            <w:pPr>
              <w:spacing w:after="0" w:line="20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Exclusive Patent and Non-Exclusive Copyright License Agreement, dated as of</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S-1/A</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October 28, 1999</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October 26, 1998, between the Registrant and Massachusetts Institute of</w:t>
              </w:r>
            </w:hyperlink>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tcBorders>
            <w:gridSpan w:val="19"/>
          </w:tcPr>
          <w:p>
            <w:pPr>
              <w:spacing w:after="0" w:line="16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Technology</w:t>
              </w:r>
            </w:hyperlink>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7"/>
          </w:tcPr>
          <w:p>
            <w:pPr>
              <w:spacing w:after="0" w:line="20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Credit Agreement by and among Akamai Technologies, Inc., the financial</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November 23, 2022</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institutions identified therein as lenders and JPMorgan Chase Bank, N.A.,</w:t>
              </w:r>
            </w:hyperlink>
          </w:p>
        </w:tc>
        <w:tc>
          <w:tcPr>
            <w:tcW w:w="860" w:type="dxa"/>
            <w:vAlign w:val="bottom"/>
            <w:gridSpan w:val="17"/>
          </w:tcPr>
          <w:p>
            <w:pPr>
              <w:ind w:left="40"/>
              <w:spacing w:after="0" w:line="152"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as</w:t>
              </w:r>
            </w:hyperlink>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Borders>
              <w:top w:val="single" w:sz="8" w:color="0000FF"/>
            </w:tcBorders>
            <w:gridSpan w:val="22"/>
          </w:tcPr>
          <w:p>
            <w:pPr>
              <w:spacing w:after="0" w:line="16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administrative agent, dated November 22, 2022</w:t>
              </w:r>
            </w:hyperlink>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7"/>
          </w:tcPr>
          <w:p>
            <w:pPr>
              <w:spacing w:after="0" w:line="205"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Call Option Confirmation between Akamai and each Option Counterparty</w:t>
              </w:r>
            </w:hyperlink>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May 22, 2018</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top w:val="single" w:sz="8" w:color="0000FF"/>
            </w:tcBorders>
            <w:gridSpan w:val="32"/>
          </w:tcPr>
          <w:p>
            <w:pPr>
              <w:spacing w:after="0" w:line="205"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Warrant Confirmation between Akamai and each Option Counterparty</w:t>
              </w:r>
            </w:hyperlink>
          </w:p>
        </w:tc>
        <w:tc>
          <w:tcPr>
            <w:tcW w:w="240" w:type="dxa"/>
            <w:vAlign w:val="bottom"/>
            <w:gridSpan w:val="5"/>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May 22, 2018</w:t>
            </w: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top w:val="single" w:sz="8" w:color="0000FF"/>
            </w:tcBorders>
            <w:gridSpan w:val="25"/>
          </w:tcPr>
          <w:p>
            <w:pPr>
              <w:spacing w:after="0" w:line="20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Call Option Confirmation between the Registrant and each Option</w:t>
              </w:r>
            </w:hyperlink>
          </w:p>
        </w:tc>
        <w:tc>
          <w:tcPr>
            <w:tcW w:w="500" w:type="dxa"/>
            <w:vAlign w:val="bottom"/>
            <w:gridSpan w:val="12"/>
          </w:tcPr>
          <w:p>
            <w:pPr>
              <w:spacing w:after="0"/>
              <w:rPr>
                <w:sz w:val="17"/>
                <w:szCs w:val="17"/>
                <w:color w:val="auto"/>
              </w:rPr>
            </w:pPr>
          </w:p>
        </w:tc>
        <w:tc>
          <w:tcPr>
            <w:tcW w:w="7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August 16, 2019</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Counterparty</w:t>
              </w:r>
            </w:hyperlink>
          </w:p>
        </w:tc>
        <w:tc>
          <w:tcPr>
            <w:tcW w:w="4360" w:type="dxa"/>
            <w:vAlign w:val="bottom"/>
            <w:tcBorders>
              <w:top w:val="single" w:sz="8" w:color="0000FF"/>
            </w:tcBorders>
            <w:gridSpan w:val="17"/>
          </w:tcPr>
          <w:p>
            <w:pPr>
              <w:spacing w:after="0"/>
              <w:rPr>
                <w:sz w:val="13"/>
                <w:szCs w:val="13"/>
                <w:color w:val="auto"/>
              </w:rPr>
            </w:pPr>
          </w:p>
        </w:tc>
        <w:tc>
          <w:tcPr>
            <w:tcW w:w="2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Warrant Confirmation between the Registrant and each Option</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16, 2019</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Counterparty</w:t>
              </w:r>
            </w:hyperlink>
          </w:p>
        </w:tc>
        <w:tc>
          <w:tcPr>
            <w:tcW w:w="50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Call Option Transaction Confirmation between the Registrant and each</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18, 2023</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Option Counterparty</w:t>
              </w:r>
            </w:hyperlink>
          </w:p>
        </w:tc>
        <w:tc>
          <w:tcPr>
            <w:tcW w:w="4180" w:type="dxa"/>
            <w:vAlign w:val="bottom"/>
            <w:tcBorders>
              <w:top w:val="single" w:sz="8" w:color="0000FF"/>
            </w:tcBorders>
            <w:gridSpan w:val="23"/>
          </w:tcPr>
          <w:p>
            <w:pPr>
              <w:spacing w:after="0"/>
              <w:rPr>
                <w:sz w:val="13"/>
                <w:szCs w:val="13"/>
                <w:color w:val="auto"/>
              </w:rPr>
            </w:pPr>
          </w:p>
        </w:tc>
        <w:tc>
          <w:tcPr>
            <w:tcW w:w="2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Warrant Confirmation between the Registrant and each Option</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18, 2023</w:t>
            </w: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Counterparty</w:t>
              </w:r>
            </w:hyperlink>
          </w:p>
        </w:tc>
        <w:tc>
          <w:tcPr>
            <w:tcW w:w="4100" w:type="dxa"/>
            <w:vAlign w:val="bottom"/>
            <w:tcBorders>
              <w:top w:val="single" w:sz="8" w:color="0000FF"/>
            </w:tcBorders>
            <w:gridSpan w:val="14"/>
          </w:tcPr>
          <w:p>
            <w:pPr>
              <w:spacing w:after="0"/>
              <w:rPr>
                <w:sz w:val="13"/>
                <w:szCs w:val="13"/>
                <w:color w:val="auto"/>
              </w:rPr>
            </w:pPr>
          </w:p>
        </w:tc>
        <w:tc>
          <w:tcPr>
            <w:tcW w:w="50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w w:val="99"/>
              </w:rPr>
              <w:t>Akamai Technologies, Inc. Statement of Company Policy on Securities Transactions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35"/>
          </w:tcPr>
          <w:p>
            <w:pPr>
              <w:spacing w:after="0" w:line="152" w:lineRule="exact"/>
              <w:rPr>
                <w:sz w:val="20"/>
                <w:szCs w:val="20"/>
                <w:color w:val="auto"/>
              </w:rPr>
            </w:pPr>
            <w:r>
              <w:rPr>
                <w:rFonts w:ascii="Times New Roman" w:cs="Times New Roman" w:eastAsia="Times New Roman" w:hAnsi="Times New Roman"/>
                <w:sz w:val="17"/>
                <w:szCs w:val="17"/>
                <w:color w:val="0000FF"/>
              </w:rPr>
              <w:t>by Akamai Personnel</w:t>
            </w: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Subsidiaries of the Registrant</w:t>
            </w:r>
          </w:p>
        </w:tc>
        <w:tc>
          <w:tcPr>
            <w:tcW w:w="3940" w:type="dxa"/>
            <w:vAlign w:val="bottom"/>
            <w:gridSpan w:val="28"/>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7"/>
          </w:tcPr>
          <w:p>
            <w:pPr>
              <w:spacing w:after="0" w:line="205"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5"/>
        </w:trPr>
        <w:tc>
          <w:tcPr>
            <w:tcW w:w="1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7"/>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13a- 14(a)/Rule 15d-14(a)</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7"/>
                <w:szCs w:val="17"/>
                <w:color w:val="0000FF"/>
              </w:rPr>
              <w:t>of the Securities Exchange Act of 1934, as amended</w:t>
            </w:r>
          </w:p>
        </w:tc>
        <w:tc>
          <w:tcPr>
            <w:tcW w:w="2220" w:type="dxa"/>
            <w:vAlign w:val="bottom"/>
            <w:tcBorders>
              <w:top w:val="single" w:sz="8" w:color="0000FF"/>
            </w:tcBorders>
            <w:gridSpan w:val="21"/>
          </w:tcPr>
          <w:p>
            <w:pPr>
              <w:spacing w:after="0"/>
              <w:rPr>
                <w:sz w:val="13"/>
                <w:szCs w:val="13"/>
                <w:color w:val="auto"/>
              </w:rPr>
            </w:pPr>
          </w:p>
        </w:tc>
        <w:tc>
          <w:tcPr>
            <w:tcW w:w="1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13a- 14(a)/Rule 15d-14(a)</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33"/>
          </w:tcPr>
          <w:p>
            <w:pPr>
              <w:spacing w:after="0" w:line="152" w:lineRule="exact"/>
              <w:rPr>
                <w:sz w:val="20"/>
                <w:szCs w:val="20"/>
                <w:color w:val="auto"/>
              </w:rPr>
            </w:pPr>
            <w:r>
              <w:rPr>
                <w:rFonts w:ascii="Times New Roman" w:cs="Times New Roman" w:eastAsia="Times New Roman" w:hAnsi="Times New Roman"/>
                <w:sz w:val="17"/>
                <w:szCs w:val="17"/>
                <w:color w:val="0000FF"/>
              </w:rPr>
              <w:t>of the Securities Exchange Act of 1934, as amended</w:t>
            </w:r>
          </w:p>
        </w:tc>
        <w:tc>
          <w:tcPr>
            <w:tcW w:w="2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800" w:type="dxa"/>
            <w:vAlign w:val="bottom"/>
            <w:tcBorders>
              <w:top w:val="single" w:sz="8" w:color="0000FF"/>
            </w:tcBorders>
            <w:gridSpan w:val="9"/>
          </w:tcPr>
          <w:p>
            <w:pPr>
              <w:spacing w:after="0"/>
              <w:rPr>
                <w:sz w:val="13"/>
                <w:szCs w:val="13"/>
                <w:color w:val="auto"/>
              </w:rPr>
            </w:pPr>
          </w:p>
        </w:tc>
        <w:tc>
          <w:tcPr>
            <w:tcW w:w="48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760" w:type="dxa"/>
            <w:vAlign w:val="bottom"/>
            <w:tcBorders>
              <w:top w:val="single" w:sz="8" w:color="0000FF"/>
            </w:tcBorders>
            <w:gridSpan w:val="8"/>
          </w:tcPr>
          <w:p>
            <w:pPr>
              <w:spacing w:after="0"/>
              <w:rPr>
                <w:sz w:val="13"/>
                <w:szCs w:val="13"/>
                <w:color w:val="auto"/>
              </w:rPr>
            </w:pPr>
          </w:p>
        </w:tc>
        <w:tc>
          <w:tcPr>
            <w:tcW w:w="540" w:type="dxa"/>
            <w:vAlign w:val="bottom"/>
            <w:gridSpan w:val="13"/>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Akamai Clawback Policy</w:t>
              </w:r>
            </w:hyperlink>
          </w:p>
        </w:tc>
        <w:tc>
          <w:tcPr>
            <w:tcW w:w="4280" w:type="dxa"/>
            <w:vAlign w:val="bottom"/>
            <w:gridSpan w:val="29"/>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92"/>
        </w:trPr>
        <w:tc>
          <w:tcPr>
            <w:tcW w:w="1280" w:type="dxa"/>
            <w:vAlign w:val="bottom"/>
            <w:gridSpan w:val="3"/>
          </w:tcPr>
          <w:p>
            <w:pPr>
              <w:ind w:left="20"/>
              <w:spacing w:after="0" w:line="192" w:lineRule="exact"/>
              <w:rPr>
                <w:sz w:val="20"/>
                <w:szCs w:val="20"/>
                <w:color w:val="auto"/>
              </w:rPr>
            </w:pPr>
            <w:r>
              <w:rPr>
                <w:rFonts w:ascii="Times New Roman" w:cs="Times New Roman" w:eastAsia="Times New Roman" w:hAnsi="Times New Roman"/>
                <w:sz w:val="18"/>
                <w:szCs w:val="18"/>
                <w:color w:val="auto"/>
              </w:rPr>
              <w:t>101.INS*</w:t>
            </w:r>
          </w:p>
        </w:tc>
        <w:tc>
          <w:tcPr>
            <w:tcW w:w="6080" w:type="dxa"/>
            <w:vAlign w:val="bottom"/>
            <w:gridSpan w:val="37"/>
          </w:tcPr>
          <w:p>
            <w:pPr>
              <w:spacing w:after="0" w:line="192"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0"/>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gridSpan w:val="37"/>
          </w:tcPr>
          <w:p>
            <w:pPr>
              <w:spacing w:after="0" w:line="181"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25"/>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5"/>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5"/>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5"/>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5"/>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1"/>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08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ind w:left="1260" w:right="4500" w:hanging="1236"/>
        <w:spacing w:after="0" w:line="230"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101.INS)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800" w:hanging="776"/>
        <w:spacing w:after="0" w:line="243"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filed as an exhibit to this annual report on Form 10-K pursuant to Item 15(b) of this annual report.</w:t>
      </w:r>
    </w:p>
    <w:p>
      <w:pPr>
        <w:spacing w:after="0" w:line="18" w:lineRule="exact"/>
        <w:rPr>
          <w:sz w:val="20"/>
          <w:szCs w:val="20"/>
          <w:color w:val="auto"/>
        </w:rPr>
      </w:pPr>
    </w:p>
    <w:p>
      <w:pPr>
        <w:ind w:left="800" w:right="300" w:hanging="776"/>
        <w:spacing w:after="0" w:line="243"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 Such portions have been omitted and filed separately with the Securities and Exchange Commission.</w:t>
      </w:r>
    </w:p>
    <w:p>
      <w:pPr>
        <w:spacing w:after="0" w:line="18" w:lineRule="exact"/>
        <w:rPr>
          <w:sz w:val="20"/>
          <w:szCs w:val="20"/>
          <w:color w:val="auto"/>
        </w:rPr>
      </w:pPr>
    </w:p>
    <w:p>
      <w:pPr>
        <w:ind w:left="800" w:hanging="776"/>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3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Not applicable.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80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AKAMAI TECHNOLOGIES, INC.</w:t>
            </w:r>
          </w:p>
        </w:tc>
      </w:tr>
      <w:tr>
        <w:trPr>
          <w:trHeight w:val="430"/>
        </w:trPr>
        <w:tc>
          <w:tcPr>
            <w:tcW w:w="3180" w:type="dxa"/>
            <w:vAlign w:val="bottom"/>
          </w:tcPr>
          <w:p>
            <w:pPr>
              <w:spacing w:after="0"/>
              <w:rPr>
                <w:sz w:val="24"/>
                <w:szCs w:val="24"/>
                <w:color w:val="auto"/>
              </w:rPr>
            </w:pPr>
          </w:p>
        </w:tc>
        <w:tc>
          <w:tcPr>
            <w:tcW w:w="23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6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/s/  EDWARD MCGOWAN</w:t>
            </w:r>
          </w:p>
        </w:tc>
      </w:tr>
      <w:tr>
        <w:trPr>
          <w:trHeight w:val="187"/>
        </w:trPr>
        <w:tc>
          <w:tcPr>
            <w:tcW w:w="3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640" w:type="dxa"/>
            <w:vAlign w:val="bottom"/>
          </w:tcPr>
          <w:p>
            <w:pPr>
              <w:ind w:left="2160"/>
              <w:spacing w:after="0" w:line="187" w:lineRule="exact"/>
              <w:rPr>
                <w:sz w:val="20"/>
                <w:szCs w:val="20"/>
                <w:color w:val="auto"/>
              </w:rPr>
            </w:pPr>
            <w:r>
              <w:rPr>
                <w:rFonts w:ascii="Times New Roman" w:cs="Times New Roman" w:eastAsia="Times New Roman" w:hAnsi="Times New Roman"/>
                <w:sz w:val="18"/>
                <w:szCs w:val="18"/>
                <w:color w:val="auto"/>
              </w:rPr>
              <w:t>Edward McGowan</w:t>
            </w:r>
          </w:p>
        </w:tc>
      </w:tr>
    </w:tbl>
    <w:p>
      <w:pPr>
        <w:ind w:left="61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30"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21" w:right="359" w:bottom="1440" w:gutter="0" w:footer="0" w:header="0"/>
        </w:sect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Signature</w:t>
            </w:r>
          </w:p>
        </w:tc>
      </w:tr>
      <w:tr>
        <w:trPr>
          <w:trHeight w:val="35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 THOMSON LEIGHTON</w:t>
            </w:r>
          </w:p>
        </w:tc>
      </w:tr>
      <w:tr>
        <w:trPr>
          <w:trHeight w:val="225"/>
        </w:trPr>
        <w:tc>
          <w:tcPr>
            <w:tcW w:w="280" w:type="dxa"/>
            <w:vAlign w:val="bottom"/>
          </w:tcPr>
          <w:p>
            <w:pPr>
              <w:spacing w:after="0"/>
              <w:rPr>
                <w:sz w:val="19"/>
                <w:szCs w:val="19"/>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 Thomson Leighton</w:t>
            </w:r>
          </w:p>
        </w:tc>
      </w:tr>
      <w:tr>
        <w:trPr>
          <w:trHeight w:val="43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EDWARD MCGOWAN</w:t>
            </w:r>
          </w:p>
        </w:tc>
      </w:tr>
      <w:tr>
        <w:trPr>
          <w:trHeight w:val="225"/>
        </w:trPr>
        <w:tc>
          <w:tcPr>
            <w:tcW w:w="280" w:type="dxa"/>
            <w:vAlign w:val="bottom"/>
          </w:tcPr>
          <w:p>
            <w:pPr>
              <w:spacing w:after="0"/>
              <w:rPr>
                <w:sz w:val="19"/>
                <w:szCs w:val="19"/>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Edward McGowan</w:t>
            </w:r>
          </w:p>
        </w:tc>
      </w:tr>
      <w:tr>
        <w:trPr>
          <w:trHeight w:val="43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LAURA HOWELL</w:t>
            </w:r>
          </w:p>
        </w:tc>
      </w:tr>
      <w:tr>
        <w:trPr>
          <w:trHeight w:val="225"/>
        </w:trPr>
        <w:tc>
          <w:tcPr>
            <w:tcW w:w="280" w:type="dxa"/>
            <w:vAlign w:val="bottom"/>
          </w:tcPr>
          <w:p>
            <w:pPr>
              <w:spacing w:after="0"/>
              <w:rPr>
                <w:sz w:val="19"/>
                <w:szCs w:val="19"/>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Laura Howell</w:t>
            </w:r>
          </w:p>
        </w:tc>
      </w:tr>
      <w:tr>
        <w:trPr>
          <w:trHeight w:val="39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SHARON Y. BOWEN</w:t>
            </w:r>
          </w:p>
        </w:tc>
      </w:tr>
      <w:tr>
        <w:trPr>
          <w:trHeight w:val="225"/>
        </w:trPr>
        <w:tc>
          <w:tcPr>
            <w:tcW w:w="280" w:type="dxa"/>
            <w:vAlign w:val="bottom"/>
          </w:tcPr>
          <w:p>
            <w:pPr>
              <w:spacing w:after="0"/>
              <w:rPr>
                <w:sz w:val="19"/>
                <w:szCs w:val="19"/>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Sharon Y. Bowen</w:t>
            </w:r>
          </w:p>
        </w:tc>
      </w:tr>
      <w:tr>
        <w:trPr>
          <w:trHeight w:val="378"/>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MARIANNE C. BROWN</w:t>
            </w:r>
          </w:p>
        </w:tc>
      </w:tr>
      <w:tr>
        <w:trPr>
          <w:trHeight w:val="225"/>
        </w:trPr>
        <w:tc>
          <w:tcPr>
            <w:tcW w:w="280" w:type="dxa"/>
            <w:vAlign w:val="bottom"/>
          </w:tcPr>
          <w:p>
            <w:pPr>
              <w:spacing w:after="0"/>
              <w:rPr>
                <w:sz w:val="19"/>
                <w:szCs w:val="19"/>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Marianne C. Brown</w:t>
            </w:r>
          </w:p>
        </w:tc>
      </w:tr>
      <w:tr>
        <w:trPr>
          <w:trHeight w:val="39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MONTE E. FORD</w:t>
            </w:r>
          </w:p>
        </w:tc>
      </w:tr>
      <w:tr>
        <w:trPr>
          <w:trHeight w:val="225"/>
        </w:trPr>
        <w:tc>
          <w:tcPr>
            <w:tcW w:w="280" w:type="dxa"/>
            <w:vAlign w:val="bottom"/>
          </w:tcPr>
          <w:p>
            <w:pPr>
              <w:spacing w:after="0"/>
              <w:rPr>
                <w:sz w:val="19"/>
                <w:szCs w:val="19"/>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Monte E. Ford</w:t>
            </w:r>
          </w:p>
        </w:tc>
      </w:tr>
      <w:tr>
        <w:trPr>
          <w:trHeight w:val="39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DANIEL R. HESSE</w:t>
            </w:r>
          </w:p>
        </w:tc>
      </w:tr>
      <w:tr>
        <w:trPr>
          <w:trHeight w:val="246"/>
        </w:trPr>
        <w:tc>
          <w:tcPr>
            <w:tcW w:w="280" w:type="dxa"/>
            <w:vAlign w:val="bottom"/>
          </w:tcPr>
          <w:p>
            <w:pPr>
              <w:spacing w:after="0"/>
              <w:rPr>
                <w:sz w:val="21"/>
                <w:szCs w:val="21"/>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Daniel R. Hesse</w:t>
            </w:r>
          </w:p>
        </w:tc>
      </w:tr>
      <w:tr>
        <w:trPr>
          <w:trHeight w:val="370"/>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PETER T. KILLALEA</w:t>
            </w:r>
          </w:p>
        </w:tc>
      </w:tr>
      <w:tr>
        <w:trPr>
          <w:trHeight w:val="225"/>
        </w:trPr>
        <w:tc>
          <w:tcPr>
            <w:tcW w:w="28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Peter T. Killalea</w:t>
            </w:r>
          </w:p>
        </w:tc>
      </w:tr>
      <w:tr>
        <w:trPr>
          <w:trHeight w:val="39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JONATHAN F. MILLER</w:t>
            </w:r>
          </w:p>
        </w:tc>
      </w:tr>
      <w:tr>
        <w:trPr>
          <w:trHeight w:val="225"/>
        </w:trPr>
        <w:tc>
          <w:tcPr>
            <w:tcW w:w="28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Jonathan F. Miller</w:t>
            </w:r>
          </w:p>
        </w:tc>
      </w:tr>
    </w:tbl>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MADHU RANGANATHAN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3475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Madhu Ranganathan</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BERNARDUS VERWAAYEN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23475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Bernardus Verwaayen</w:t>
      </w:r>
    </w:p>
    <w:p>
      <w:pPr>
        <w:spacing w:after="0" w:line="19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7"/>
          <w:szCs w:val="17"/>
          <w:color w:val="auto"/>
        </w:rPr>
        <w:t>/s/ WILLIAM R.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3475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3"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William R. Wagner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25577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2557780" cy="8255"/>
                    </a:xfrm>
                    <a:prstGeom prst="rect">
                      <a:avLst/>
                    </a:prstGeom>
                    <a:noFill/>
                  </pic:spPr>
                </pic:pic>
              </a:graphicData>
            </a:graphic>
          </wp:anchor>
        </w:drawing>
      </w:r>
    </w:p>
    <w:p>
      <w:pPr>
        <w:spacing w:after="0" w:line="157" w:lineRule="exact"/>
        <w:rPr>
          <w:sz w:val="20"/>
          <w:szCs w:val="20"/>
          <w:color w:val="auto"/>
        </w:rPr>
      </w:pPr>
    </w:p>
    <w:p>
      <w:pPr>
        <w:ind w:right="460"/>
        <w:spacing w:after="0" w:line="234" w:lineRule="auto"/>
        <w:rPr>
          <w:sz w:val="20"/>
          <w:szCs w:val="20"/>
          <w:color w:val="auto"/>
        </w:rPr>
      </w:pPr>
      <w:r>
        <w:rPr>
          <w:rFonts w:ascii="Times New Roman" w:cs="Times New Roman" w:eastAsia="Times New Roman" w:hAnsi="Times New Roman"/>
          <w:sz w:val="18"/>
          <w:szCs w:val="18"/>
          <w:color w:val="auto"/>
        </w:rPr>
        <w:t>Chief Executive Officer, President and Director (Principal Executive Officer)</w:t>
      </w:r>
    </w:p>
    <w:p>
      <w:pPr>
        <w:spacing w:after="0" w:line="27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 (Principal Financial Officer)</w:t>
      </w:r>
    </w:p>
    <w:p>
      <w:pPr>
        <w:spacing w:after="0" w:line="272" w:lineRule="exact"/>
        <w:rPr>
          <w:sz w:val="20"/>
          <w:szCs w:val="20"/>
          <w:color w:val="auto"/>
        </w:rPr>
      </w:pPr>
    </w:p>
    <w:p>
      <w:pPr>
        <w:ind w:right="380"/>
        <w:spacing w:after="0" w:line="234" w:lineRule="auto"/>
        <w:rPr>
          <w:sz w:val="20"/>
          <w:szCs w:val="20"/>
          <w:color w:val="auto"/>
        </w:rPr>
      </w:pPr>
      <w:r>
        <w:rPr>
          <w:rFonts w:ascii="Times New Roman" w:cs="Times New Roman" w:eastAsia="Times New Roman" w:hAnsi="Times New Roman"/>
          <w:sz w:val="18"/>
          <w:szCs w:val="18"/>
          <w:color w:val="auto"/>
        </w:rPr>
        <w:t>Senior Vice President, Chief Accounting Officer (Principal Accounting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4725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2025</w:t>
      </w:r>
    </w:p>
    <w:p>
      <w:pPr>
        <w:spacing w:after="0" w:line="344" w:lineRule="exact"/>
        <w:rPr>
          <w:sz w:val="20"/>
          <w:szCs w:val="20"/>
          <w:color w:val="auto"/>
        </w:rPr>
      </w:pPr>
    </w:p>
    <w:p>
      <w:pPr>
        <w:sectPr>
          <w:pgSz w:w="11900" w:h="16838" w:orient="portrait"/>
          <w:cols w:equalWidth="0" w:num="3">
            <w:col w:w="3700" w:space="120"/>
            <w:col w:w="3820" w:space="320"/>
            <w:col w:w="3260"/>
          </w:cols>
          <w:pgMar w:left="320" w:top="121" w:right="359" w:bottom="1440" w:gutter="0" w:footer="0" w:header="0"/>
          <w:type w:val="continuous"/>
        </w:sect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21" w:right="35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 2013 STOCK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Amended and Restated 2013 Stock Incentive Plan is hereby amended as follows:</w:t>
      </w:r>
    </w:p>
    <w:p>
      <w:pPr>
        <w:spacing w:after="0" w:line="1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Section 4(a)(1) of the Plan is hereby deleted and a new Section 4(a)(1) is inserted in lieu thereof which shall read as follows:</w:t>
      </w:r>
    </w:p>
    <w:p>
      <w:pPr>
        <w:spacing w:after="0" w:line="11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9, Awards may be made under the Plan for up to such number of shares of common stock, $0.01 par value per share, of the Company (the “Common Stock”) as is equal to the sum of:</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38,750,000 shares of Common Stock;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 2013 STOCK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Amended and Restated 2013 Stock Incentive Plan is hereby amended as follows:</w:t>
      </w:r>
    </w:p>
    <w:p>
      <w:pPr>
        <w:spacing w:after="0" w:line="1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Section 4(a)(1) of the Plan is hereby deleted and a new Section 4(a)(1) is inserted in lieu thereof which shall read as follows:</w:t>
      </w:r>
    </w:p>
    <w:p>
      <w:pPr>
        <w:spacing w:after="0" w:line="11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9, Awards may be made under the Plan for up to such number of shares of common stock, $0.01 par value per share, of the Company (the “Common Stock”) as is equal to the sum of:</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33,750,000 shares of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4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u w:val="single" w:color="auto"/>
          <w:color w:val="auto"/>
        </w:rPr>
        <w:t>Akamai Technologies,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SECOND AMENDED AND RESTATED 2013 STOCK INCENTIVE PLAN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Purpose</w:t>
      </w:r>
    </w:p>
    <w:p>
      <w:pPr>
        <w:spacing w:after="0" w:line="111" w:lineRule="exact"/>
        <w:rPr>
          <w:sz w:val="20"/>
          <w:szCs w:val="20"/>
          <w:color w:val="auto"/>
        </w:rPr>
      </w:pPr>
    </w:p>
    <w:p>
      <w:pPr>
        <w:ind w:right="20" w:firstLine="433"/>
        <w:spacing w:after="0" w:line="250" w:lineRule="auto"/>
        <w:rPr>
          <w:sz w:val="20"/>
          <w:szCs w:val="20"/>
          <w:color w:val="auto"/>
        </w:rPr>
      </w:pPr>
      <w:r>
        <w:rPr>
          <w:rFonts w:ascii="Times New Roman" w:cs="Times New Roman" w:eastAsia="Times New Roman" w:hAnsi="Times New Roman"/>
          <w:sz w:val="18"/>
          <w:szCs w:val="18"/>
          <w:color w:val="auto"/>
        </w:rPr>
        <w:t>The purpose of this 2013 Stock Incentive Plan (the “Plan”) of Akamai Technologies, Inc., a Delaware corporation (the “Company” or “Akamai”),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Eligibility</w:t>
      </w:r>
    </w:p>
    <w:p>
      <w:pPr>
        <w:spacing w:after="0" w:line="111" w:lineRule="exact"/>
        <w:rPr>
          <w:sz w:val="20"/>
          <w:szCs w:val="20"/>
          <w:color w:val="auto"/>
        </w:rPr>
      </w:pPr>
    </w:p>
    <w:p>
      <w:pPr>
        <w:ind w:right="20" w:firstLine="433"/>
        <w:spacing w:after="0" w:line="251" w:lineRule="auto"/>
        <w:rPr>
          <w:sz w:val="20"/>
          <w:szCs w:val="20"/>
          <w:color w:val="auto"/>
        </w:rPr>
      </w:pPr>
      <w:r>
        <w:rPr>
          <w:rFonts w:ascii="Times New Roman" w:cs="Times New Roman" w:eastAsia="Times New Roman" w:hAnsi="Times New Roman"/>
          <w:sz w:val="18"/>
          <w:szCs w:val="18"/>
          <w:color w:val="auto"/>
        </w:rPr>
        <w:t>All of the Company’s employees, officers and directors, as well as consultants and advisors to the Company (as the terms consultants and advisors are defined and interpreted for purposes of Form S-8 under the Securities Act of 1933, as amended (the “Securities Act”), or any successor form) are eligible to be granted Awards under the Plan. Each person who is granted an Award under the Plan is deemed a “Participant.” The Plan provides for the following types of awards, each of which is referred to as an “Award”: Options (as defined in Section 5), SARs (as defined in Section 6), Restricted Stock (as defined in Section 7), Restricted Stock Units (as defined in Section 7) and Other Stock-Based Awards (as defined in Section 8) and Cash-Based Awards (as defined in Section 8).</w:t>
      </w:r>
    </w:p>
    <w:p>
      <w:pPr>
        <w:spacing w:after="0" w:line="200" w:lineRule="exact"/>
        <w:rPr>
          <w:sz w:val="20"/>
          <w:szCs w:val="20"/>
          <w:color w:val="auto"/>
        </w:rPr>
      </w:pPr>
    </w:p>
    <w:p>
      <w:pPr>
        <w:spacing w:after="0" w:line="224" w:lineRule="exact"/>
        <w:rPr>
          <w:sz w:val="20"/>
          <w:szCs w:val="20"/>
          <w:color w:val="auto"/>
        </w:rPr>
      </w:pPr>
    </w:p>
    <w:p>
      <w:pPr>
        <w:ind w:left="180" w:hanging="174"/>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and Delegation</w:t>
      </w:r>
    </w:p>
    <w:p>
      <w:pPr>
        <w:spacing w:after="0" w:line="111" w:lineRule="exact"/>
        <w:rPr>
          <w:rFonts w:ascii="Times New Roman" w:cs="Times New Roman" w:eastAsia="Times New Roman" w:hAnsi="Times New Roman"/>
          <w:sz w:val="18"/>
          <w:szCs w:val="18"/>
          <w:color w:val="auto"/>
        </w:rPr>
      </w:pPr>
    </w:p>
    <w:p>
      <w:pPr>
        <w:ind w:right="160" w:firstLine="439"/>
        <w:spacing w:after="0" w:line="264" w:lineRule="auto"/>
        <w:tabs>
          <w:tab w:leader="none" w:pos="673"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by Board of Directors.</w:t>
      </w:r>
      <w:r>
        <w:rPr>
          <w:rFonts w:ascii="Times New Roman" w:cs="Times New Roman" w:eastAsia="Times New Roman" w:hAnsi="Times New Roman"/>
          <w:sz w:val="17"/>
          <w:szCs w:val="17"/>
          <w:color w:val="auto"/>
        </w:rPr>
        <w:t xml:space="preserve"> The Plan will be administered by the Board. Subject to and consistent with the provisions of the Plan, the Board shall have the authority and discretion to: (i) determine which eligible employees, officers, directors, consultants and advisors will receive Awards, (ii) determine the number of shares of Common Stock (as hereinafter defined), cash, or other consideration to be covered by each Award, (iii) determine the terms and conditions of any Award (including Fair Market Value (as hereinafter defined), the exercise price, the vesting schedule, the term of the Award, and the period following termination from employment or service during which an Award may be exercised), (iv) approve forms of Award agreements and other documentation for use under the Plan, (v) adopt, alter, and repeal administrative rules, guidelines, and practices governing the operation of the Plan,</w:t>
      </w:r>
    </w:p>
    <w:p>
      <w:pPr>
        <w:spacing w:after="0" w:line="1" w:lineRule="exact"/>
        <w:rPr>
          <w:rFonts w:ascii="Times New Roman" w:cs="Times New Roman" w:eastAsia="Times New Roman" w:hAnsi="Times New Roman"/>
          <w:sz w:val="17"/>
          <w:szCs w:val="17"/>
          <w:color w:val="auto"/>
        </w:rPr>
      </w:pPr>
    </w:p>
    <w:p>
      <w:pPr>
        <w:ind w:right="6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 interpret the provisions of the Plan and any Award documentation and remedy any ambiguities, omissions, or inconsistencies therein, (vii) modify or amend Awards, or grant waivers of Plan or Award conditions, (viii) determine the nature and provisions of Other Stock-Based Awards (as hereinafter defined) permitted pursuant to Section 8, and (ix) make all other determinations necessary or advisable for the administration of the Plan.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91" w:lineRule="exact"/>
        <w:rPr>
          <w:rFonts w:ascii="Times New Roman" w:cs="Times New Roman" w:eastAsia="Times New Roman" w:hAnsi="Times New Roman"/>
          <w:sz w:val="17"/>
          <w:szCs w:val="17"/>
          <w:color w:val="auto"/>
        </w:rPr>
      </w:pPr>
    </w:p>
    <w:p>
      <w:pPr>
        <w:ind w:firstLine="439"/>
        <w:spacing w:after="0" w:line="255" w:lineRule="auto"/>
        <w:tabs>
          <w:tab w:leader="none" w:pos="68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 Notwithstanding the foregoing, for purposes of granting Awards to directors, the Committee shall mean the Compensation Committee.</w:t>
      </w:r>
    </w:p>
    <w:p>
      <w:pPr>
        <w:spacing w:after="0" w:line="180" w:lineRule="exact"/>
        <w:rPr>
          <w:rFonts w:ascii="Times New Roman" w:cs="Times New Roman" w:eastAsia="Times New Roman" w:hAnsi="Times New Roman"/>
          <w:sz w:val="18"/>
          <w:szCs w:val="18"/>
          <w:color w:val="auto"/>
        </w:rPr>
      </w:pPr>
    </w:p>
    <w:p>
      <w:pPr>
        <w:ind w:firstLine="439"/>
        <w:spacing w:after="0" w:line="250" w:lineRule="auto"/>
        <w:tabs>
          <w:tab w:leader="none" w:pos="67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Officers</w:t>
      </w:r>
      <w:r>
        <w:rPr>
          <w:rFonts w:ascii="Times New Roman" w:cs="Times New Roman" w:eastAsia="Times New Roman" w:hAnsi="Times New Roman"/>
          <w:sz w:val="18"/>
          <w:szCs w:val="18"/>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“Exchange Act”)), or to any “officer” of the Company (as defined by Rule 16a-1(f) under the Exchange Act).”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57" w:right="339" w:bottom="1440" w:gutter="0" w:footer="0" w:header="0"/>
        </w:sectPr>
      </w:pPr>
    </w:p>
    <w:bookmarkStart w:id="99" w:name="page100"/>
    <w:bookmarkEnd w:id="99"/>
    <w:p>
      <w:pPr>
        <w:ind w:firstLine="439"/>
        <w:spacing w:after="0" w:line="274" w:lineRule="auto"/>
        <w:tabs>
          <w:tab w:leader="none" w:pos="68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Non-Employee Directors</w:t>
      </w:r>
      <w:r>
        <w:rPr>
          <w:rFonts w:ascii="Times New Roman" w:cs="Times New Roman" w:eastAsia="Times New Roman" w:hAnsi="Times New Roman"/>
          <w:sz w:val="18"/>
          <w:szCs w:val="18"/>
          <w:color w:val="auto"/>
        </w:rPr>
        <w:t>. Awards to non-employee directors will only be granted and administered by a Committee, all of the members of which are independent as defined by Section 5605(a)(2) of the NASDAQ Marketplace Rules.</w:t>
      </w:r>
    </w:p>
    <w:p>
      <w:pPr>
        <w:spacing w:after="0" w:line="269"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Available for Awards</w:t>
      </w:r>
    </w:p>
    <w:p>
      <w:pPr>
        <w:spacing w:after="0" w:line="111"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9, Awards may be made under the Plan for up to such number of shares of common stock,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par value per share, of the Company (the “Common Stock”) as is equal to the sum of:</w:t>
      </w:r>
    </w:p>
    <w:p>
      <w:pPr>
        <w:spacing w:after="0" w:line="92" w:lineRule="exact"/>
        <w:rPr>
          <w:sz w:val="20"/>
          <w:szCs w:val="20"/>
          <w:color w:val="auto"/>
        </w:rPr>
      </w:pPr>
    </w:p>
    <w:p>
      <w:pPr>
        <w:ind w:left="1220" w:hanging="241"/>
        <w:spacing w:after="0"/>
        <w:tabs>
          <w:tab w:leader="none" w:pos="122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26,500,000 of Common Stock; and</w:t>
      </w:r>
    </w:p>
    <w:p>
      <w:pPr>
        <w:spacing w:after="0" w:line="111" w:lineRule="exact"/>
        <w:rPr>
          <w:rFonts w:ascii="Times New Roman" w:cs="Times New Roman" w:eastAsia="Times New Roman" w:hAnsi="Times New Roman"/>
          <w:sz w:val="18"/>
          <w:szCs w:val="18"/>
          <w:color w:val="auto"/>
        </w:rPr>
      </w:pPr>
    </w:p>
    <w:p>
      <w:pPr>
        <w:ind w:right="40" w:firstLine="985"/>
        <w:spacing w:after="0" w:line="249" w:lineRule="auto"/>
        <w:tabs>
          <w:tab w:leader="none" w:pos="123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number of shares of Common Stock as is equal to the sum of (i) the number of shares of Common Stock reserved for issuance under the Company’s 2009 Stock Incentive Plan (the “2009 Plan”) that remained available for grant immediately prior to the date this Plan was first approved by the Company’s stockholders and (ii) the number of shares of Common Stock subject to awards granted under the 2009 Plan, the Company’s Second Amended and Restated 1998 Stock Incentive Plan, the Company’s 2001 Stock Incentive Plan and the Company’s 2006 Stock Incentive Plan (together, the “Existing Plans”) which awards expire, terminate or are otherwise surrendered, cancelled, forfeited or repurchased by the Company at their original issuance price pursuant to a contractual repurchase right (subject, however, in the case of Incentive Stock Options to any limitations of the Code). Shares of Common Stock issued under the Plan may consist in whole or in part of authorized but unissued shares, treasury shares or shares purchased on the open market. Up to five million (5,000,000) shares of Common Stock shall be available under the Plan for Awards in the form of Incentive Stock Options (as defined in Section 5(b)).</w:t>
      </w:r>
    </w:p>
    <w:p>
      <w:pPr>
        <w:spacing w:after="0" w:line="187" w:lineRule="exact"/>
        <w:rPr>
          <w:rFonts w:ascii="Times New Roman" w:cs="Times New Roman" w:eastAsia="Times New Roman" w:hAnsi="Times New Roman"/>
          <w:sz w:val="18"/>
          <w:szCs w:val="18"/>
          <w:color w:val="auto"/>
        </w:rPr>
      </w:pPr>
    </w:p>
    <w:p>
      <w:pPr>
        <w:ind w:right="600" w:firstLine="439"/>
        <w:spacing w:after="0" w:line="274" w:lineRule="auto"/>
        <w:tabs>
          <w:tab w:leader="none" w:pos="68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grant of Awards under the Plan pursuant to Section 4(a) and the sublimit contained in Section 4(c)(1):</w:t>
      </w:r>
    </w:p>
    <w:p>
      <w:pPr>
        <w:spacing w:after="0" w:line="57" w:lineRule="exact"/>
        <w:rPr>
          <w:rFonts w:ascii="Times New Roman" w:cs="Times New Roman" w:eastAsia="Times New Roman" w:hAnsi="Times New Roman"/>
          <w:sz w:val="18"/>
          <w:szCs w:val="18"/>
          <w:color w:val="auto"/>
        </w:rPr>
      </w:pPr>
    </w:p>
    <w:p>
      <w:pPr>
        <w:ind w:right="40" w:firstLine="979"/>
        <w:spacing w:after="0" w:line="252" w:lineRule="auto"/>
        <w:tabs>
          <w:tab w:leader="none" w:pos="1223"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covered by SARs shall be counted against the number of shares available for the grant of Awards under the Plan and against the sublimit listed in the first clause of this Section 4(b); provided, however, that (i) SARs that may be settled only in cash shall not be so counted and (ii) if the Company grants an SAR in tandem with an Option for the same number of shares of Common Stock and provides that only one such Award may be exercised (a “Tandem SAR”), only the shares covered by the Option, and not the shares covered by the Tandem SAR, shall be so counted, and the expiration of one in connection with the other’s exercise will not restore shares to the Plan;</w:t>
      </w:r>
    </w:p>
    <w:p>
      <w:pPr>
        <w:spacing w:after="0" w:line="185" w:lineRule="exact"/>
        <w:rPr>
          <w:rFonts w:ascii="Times New Roman" w:cs="Times New Roman" w:eastAsia="Times New Roman" w:hAnsi="Times New Roman"/>
          <w:sz w:val="18"/>
          <w:szCs w:val="18"/>
          <w:color w:val="auto"/>
        </w:rPr>
      </w:pPr>
    </w:p>
    <w:p>
      <w:pPr>
        <w:jc w:val="both"/>
        <w:ind w:firstLine="979"/>
        <w:spacing w:after="0" w:line="266" w:lineRule="auto"/>
        <w:tabs>
          <w:tab w:leader="none" w:pos="1223"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provided, however, that</w:t>
      </w:r>
    </w:p>
    <w:p>
      <w:pPr>
        <w:ind w:right="240" w:firstLine="6"/>
        <w:spacing w:after="0" w:line="247" w:lineRule="auto"/>
        <w:tabs>
          <w:tab w:leader="none" w:pos="2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Incentive Stock Options, the foregoing shall be subject to any limitations under the Code, (2) in the case of the exercise of an SAR, the number of shares counted against the shares available under the Plan and against the sublimit listed in the first clause of this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147" w:lineRule="exact"/>
        <w:rPr>
          <w:rFonts w:ascii="Times New Roman" w:cs="Times New Roman" w:eastAsia="Times New Roman" w:hAnsi="Times New Roman"/>
          <w:sz w:val="18"/>
          <w:szCs w:val="18"/>
          <w:color w:val="auto"/>
        </w:rPr>
      </w:pPr>
    </w:p>
    <w:p>
      <w:pPr>
        <w:ind w:firstLine="985"/>
        <w:spacing w:after="0" w:line="259" w:lineRule="auto"/>
        <w:tabs>
          <w:tab w:leader="none" w:pos="123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(either by actual delivery, attestation, or net exercise) to the Company by a Participant to (i) purchase shares of Common Stock upon the exercise of an Award or (ii) satisfy tax withholding obligations with respect to an Award (including shares retained from the Award creating the tax obligation) shall not be added back to the number of shares available for the future grant of Awards; and</w:t>
      </w:r>
    </w:p>
    <w:p>
      <w:pPr>
        <w:spacing w:after="0" w:line="177" w:lineRule="exact"/>
        <w:rPr>
          <w:rFonts w:ascii="Times New Roman" w:cs="Times New Roman" w:eastAsia="Times New Roman" w:hAnsi="Times New Roman"/>
          <w:sz w:val="18"/>
          <w:szCs w:val="18"/>
          <w:color w:val="auto"/>
        </w:rPr>
      </w:pPr>
    </w:p>
    <w:p>
      <w:pPr>
        <w:ind w:right="540" w:firstLine="979"/>
        <w:spacing w:after="0" w:line="274" w:lineRule="auto"/>
        <w:tabs>
          <w:tab w:leader="none" w:pos="1223"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repurchased by the Company on the open market using the proceeds from the exercise of an Award shall not increase the number of shares available for future grant of Awards.</w:t>
      </w:r>
    </w:p>
    <w:p>
      <w:pPr>
        <w:spacing w:after="0" w:line="163"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Sub-limits</w:t>
      </w:r>
      <w:r>
        <w:rPr>
          <w:rFonts w:ascii="Times New Roman" w:cs="Times New Roman" w:eastAsia="Times New Roman" w:hAnsi="Times New Roman"/>
          <w:sz w:val="18"/>
          <w:szCs w:val="18"/>
          <w:color w:val="auto"/>
        </w:rPr>
        <w:t>. Subject to adjustment under Section 9, the following sub-limits on the number of shares subject to Awards shall apply:</w:t>
      </w:r>
    </w:p>
    <w:p>
      <w:pPr>
        <w:spacing w:after="0" w:line="111" w:lineRule="exact"/>
        <w:rPr>
          <w:rFonts w:ascii="Times New Roman" w:cs="Times New Roman" w:eastAsia="Times New Roman" w:hAnsi="Times New Roman"/>
          <w:sz w:val="18"/>
          <w:szCs w:val="18"/>
          <w:color w:val="auto"/>
        </w:rPr>
      </w:pPr>
    </w:p>
    <w:p>
      <w:pPr>
        <w:ind w:right="80" w:firstLine="979"/>
        <w:spacing w:after="0" w:line="274" w:lineRule="auto"/>
        <w:tabs>
          <w:tab w:leader="none" w:pos="1223"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Per-Participant Limit</w:t>
      </w:r>
      <w:r>
        <w:rPr>
          <w:rFonts w:ascii="Times New Roman" w:cs="Times New Roman" w:eastAsia="Times New Roman" w:hAnsi="Times New Roman"/>
          <w:sz w:val="17"/>
          <w:szCs w:val="17"/>
          <w:color w:val="auto"/>
        </w:rPr>
        <w:t>. Subject to adjustment under Section 9, the maximum number of shares of Common Stock with respect to which Awards may be granted to any Participant under the Plan shall be 1,000,000 per calendar year. For purposes of the foregoing limit, the combination of an Option in tandem with a SAR (as each is hereafter defined) shall be treated as a single Award. The per-Participant limit described in this Section 4(c)(1) shall be construed and applied consistently with Section 162(m) of the Code or any successor provision thereto, and the regulations thereunder (“Section 162(m)”).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69" w:right="339" w:bottom="1440" w:gutter="0" w:footer="0" w:header="0"/>
        </w:sectPr>
      </w:pPr>
    </w:p>
    <w:bookmarkStart w:id="100" w:name="page101"/>
    <w:bookmarkEnd w:id="100"/>
    <w:p>
      <w:pPr>
        <w:ind w:right="80" w:firstLine="979"/>
        <w:spacing w:after="0" w:line="252" w:lineRule="auto"/>
        <w:tabs>
          <w:tab w:leader="none" w:pos="1223"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Awards to Non-Employee Directors</w:t>
      </w:r>
      <w:r>
        <w:rPr>
          <w:rFonts w:ascii="Times New Roman" w:cs="Times New Roman" w:eastAsia="Times New Roman" w:hAnsi="Times New Roman"/>
          <w:sz w:val="18"/>
          <w:szCs w:val="18"/>
          <w:color w:val="auto"/>
        </w:rPr>
        <w:t>. The maximum amount of cash and equity compensation (calculated in the case of equity awards based on grant date fair value for financial reporting purposes) granted in any calendar year to any individual non-employee director shall not exceed $1,000,000. The Board of Directors may make exceptions to this limit for individual non-employee directors in extraordinary circumstances, as the Board of Directors may determine in its discretion, provided that the non-employee director receiving such additional compensation may not participate in the decision to award such compensation.</w:t>
      </w:r>
    </w:p>
    <w:p>
      <w:pPr>
        <w:spacing w:after="0" w:line="185" w:lineRule="exact"/>
        <w:rPr>
          <w:rFonts w:ascii="Times New Roman" w:cs="Times New Roman" w:eastAsia="Times New Roman" w:hAnsi="Times New Roman"/>
          <w:sz w:val="18"/>
          <w:szCs w:val="18"/>
          <w:color w:val="auto"/>
        </w:rPr>
      </w:pPr>
    </w:p>
    <w:p>
      <w:pPr>
        <w:ind w:right="180" w:firstLine="439"/>
        <w:spacing w:after="0" w:line="252" w:lineRule="auto"/>
        <w:tabs>
          <w:tab w:leader="none" w:pos="68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or any sublimits contained in the Plan, except as may be required by reason of Section 422 and related provisions of the Code.</w:t>
      </w:r>
    </w:p>
    <w:p>
      <w:pPr>
        <w:spacing w:after="0" w:line="291"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111" w:lineRule="exact"/>
        <w:rPr>
          <w:rFonts w:ascii="Times New Roman" w:cs="Times New Roman" w:eastAsia="Times New Roman" w:hAnsi="Times New Roman"/>
          <w:sz w:val="18"/>
          <w:szCs w:val="18"/>
          <w:color w:val="auto"/>
        </w:rPr>
      </w:pPr>
    </w:p>
    <w:p>
      <w:pPr>
        <w:ind w:right="80" w:firstLine="439"/>
        <w:spacing w:after="0" w:line="255" w:lineRule="auto"/>
        <w:tabs>
          <w:tab w:leader="none" w:pos="6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53" w:lineRule="exact"/>
        <w:rPr>
          <w:rFonts w:ascii="Times New Roman" w:cs="Times New Roman" w:eastAsia="Times New Roman" w:hAnsi="Times New Roman"/>
          <w:sz w:val="18"/>
          <w:szCs w:val="18"/>
          <w:color w:val="auto"/>
        </w:rPr>
      </w:pPr>
    </w:p>
    <w:p>
      <w:pPr>
        <w:ind w:firstLine="439"/>
        <w:spacing w:after="0" w:line="265" w:lineRule="auto"/>
        <w:tabs>
          <w:tab w:leader="none" w:pos="683"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Stock Options</w:t>
      </w:r>
      <w:r>
        <w:rPr>
          <w:rFonts w:ascii="Times New Roman" w:cs="Times New Roman" w:eastAsia="Times New Roman" w:hAnsi="Times New Roman"/>
          <w:sz w:val="17"/>
          <w:szCs w:val="17"/>
          <w:color w:val="auto"/>
        </w:rPr>
        <w:t>. An Option that the Board intends to be an “incentive stock option” as defined in Section 422 of the Code (an “Incentive Stock Option”) shall only be granted to employees of Akamai, any of Akamai’s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If the Fair Market Value (as defined below) of shares on the date of grant with respect to which Incentive Stock Options are exercisable for the first time by a Participant during any calendar year exceeds $100,000, the Options for the first $100,000 worth of shares to become exercisable in that calendar year will be Incentive Stock Options, and the Options for the shares with a Fair Market Value (as defined below) in excess of $100,000 that become exercisable in that calendar year will be Nonstatutory Stock Options. The Company shall have no liability to a Participant, or any other person,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77" w:lineRule="exact"/>
        <w:rPr>
          <w:rFonts w:ascii="Times New Roman" w:cs="Times New Roman" w:eastAsia="Times New Roman" w:hAnsi="Times New Roman"/>
          <w:sz w:val="17"/>
          <w:szCs w:val="17"/>
          <w:color w:val="auto"/>
        </w:rPr>
      </w:pPr>
    </w:p>
    <w:p>
      <w:pPr>
        <w:ind w:right="100" w:firstLine="439"/>
        <w:spacing w:after="0" w:line="255" w:lineRule="auto"/>
        <w:tabs>
          <w:tab w:leader="none" w:pos="6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Board shall establish the exercise price of each Option or the formula by which such exercise price shall be determined. The exercise price shall be specified in the applicable option agreement; provided, however, that the exercise price shall not be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w:t>
      </w:r>
    </w:p>
    <w:p>
      <w:pPr>
        <w:spacing w:after="0" w:line="180" w:lineRule="exact"/>
        <w:rPr>
          <w:rFonts w:ascii="Times New Roman" w:cs="Times New Roman" w:eastAsia="Times New Roman" w:hAnsi="Times New Roman"/>
          <w:sz w:val="18"/>
          <w:szCs w:val="18"/>
          <w:color w:val="auto"/>
        </w:rPr>
      </w:pPr>
    </w:p>
    <w:p>
      <w:pPr>
        <w:ind w:right="60" w:firstLine="439"/>
        <w:spacing w:after="0" w:line="250" w:lineRule="auto"/>
        <w:tabs>
          <w:tab w:leader="none" w:pos="68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 of Options</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canceled option, (3) cancel in exchange for a cash payment any outstanding Option with an exercise price per share above the then-current Fair Market Value, or (4) take any other action under the Plan that constitutes a “repricing” within the meaning of the rules of the NASDAQ Stock Market (“NASDAQ”).</w:t>
      </w:r>
    </w:p>
    <w:p>
      <w:pPr>
        <w:spacing w:after="0" w:line="146" w:lineRule="exact"/>
        <w:rPr>
          <w:rFonts w:ascii="Times New Roman" w:cs="Times New Roman" w:eastAsia="Times New Roman" w:hAnsi="Times New Roman"/>
          <w:sz w:val="18"/>
          <w:szCs w:val="18"/>
          <w:color w:val="auto"/>
        </w:rPr>
      </w:pPr>
    </w:p>
    <w:p>
      <w:pPr>
        <w:ind w:right="600" w:firstLine="439"/>
        <w:spacing w:after="0" w:line="274" w:lineRule="auto"/>
        <w:tabs>
          <w:tab w:leader="none" w:pos="6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Each Option shall be exercisable at such times and subject to such terms and conditions as the Board may specify in the applicable option agreement; provided however, that no Option will be granted for a term in excess of 7 years.</w:t>
      </w:r>
    </w:p>
    <w:p>
      <w:pPr>
        <w:spacing w:after="0" w:line="163" w:lineRule="exact"/>
        <w:rPr>
          <w:rFonts w:ascii="Times New Roman" w:cs="Times New Roman" w:eastAsia="Times New Roman" w:hAnsi="Times New Roman"/>
          <w:sz w:val="18"/>
          <w:szCs w:val="18"/>
          <w:color w:val="auto"/>
        </w:rPr>
      </w:pPr>
    </w:p>
    <w:p>
      <w:pPr>
        <w:ind w:firstLine="439"/>
        <w:spacing w:after="0" w:line="255" w:lineRule="auto"/>
        <w:tabs>
          <w:tab w:leader="none" w:pos="6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Options may be exercised by delivery to the Company of a notice of exercise signed by the proper person or by any other form of notice (including electronic notice) approved by the Board together with payment in full as specified in Section 5(g) for the number of shares for which the Option is exercised. Shares of Common Stock subject to the Option will be delivered by the Company following exercise as soon as practicable following exercise.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69" w:right="339" w:bottom="1440" w:gutter="0" w:footer="0" w:header="0"/>
        </w:sectPr>
      </w:pPr>
    </w:p>
    <w:bookmarkStart w:id="101" w:name="page102"/>
    <w:bookmarkEnd w:id="101"/>
    <w:p>
      <w:pPr>
        <w:ind w:left="674" w:hanging="241"/>
        <w:spacing w:after="0"/>
        <w:tabs>
          <w:tab w:leader="none" w:pos="6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granted under the Plan shall be paid for as follows:</w:t>
      </w:r>
    </w:p>
    <w:p>
      <w:pPr>
        <w:spacing w:after="0" w:line="111" w:lineRule="exact"/>
        <w:rPr>
          <w:rFonts w:ascii="Times New Roman" w:cs="Times New Roman" w:eastAsia="Times New Roman" w:hAnsi="Times New Roman"/>
          <w:sz w:val="18"/>
          <w:szCs w:val="18"/>
          <w:color w:val="auto"/>
        </w:rPr>
      </w:pPr>
    </w:p>
    <w:p>
      <w:pPr>
        <w:ind w:left="1214" w:hanging="241"/>
        <w:spacing w:after="0"/>
        <w:tabs>
          <w:tab w:leader="none" w:pos="121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17" w:lineRule="exact"/>
        <w:rPr>
          <w:rFonts w:ascii="Times New Roman" w:cs="Times New Roman" w:eastAsia="Times New Roman" w:hAnsi="Times New Roman"/>
          <w:sz w:val="18"/>
          <w:szCs w:val="18"/>
          <w:color w:val="auto"/>
        </w:rPr>
      </w:pPr>
    </w:p>
    <w:p>
      <w:pPr>
        <w:ind w:left="-6" w:right="420" w:firstLine="979"/>
        <w:spacing w:after="0" w:line="255" w:lineRule="auto"/>
        <w:tabs>
          <w:tab w:leader="none" w:pos="1217"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80" w:lineRule="exact"/>
        <w:rPr>
          <w:rFonts w:ascii="Times New Roman" w:cs="Times New Roman" w:eastAsia="Times New Roman" w:hAnsi="Times New Roman"/>
          <w:sz w:val="18"/>
          <w:szCs w:val="18"/>
          <w:color w:val="auto"/>
        </w:rPr>
      </w:pPr>
    </w:p>
    <w:p>
      <w:pPr>
        <w:ind w:left="-6" w:right="40" w:firstLine="979"/>
        <w:spacing w:after="0" w:line="252" w:lineRule="auto"/>
        <w:tabs>
          <w:tab w:leader="none" w:pos="1217"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85" w:lineRule="exact"/>
        <w:rPr>
          <w:rFonts w:ascii="Times New Roman" w:cs="Times New Roman" w:eastAsia="Times New Roman" w:hAnsi="Times New Roman"/>
          <w:sz w:val="18"/>
          <w:szCs w:val="18"/>
          <w:color w:val="auto"/>
        </w:rPr>
      </w:pPr>
    </w:p>
    <w:p>
      <w:pPr>
        <w:ind w:left="-6" w:firstLine="979"/>
        <w:spacing w:after="0" w:line="272" w:lineRule="auto"/>
        <w:tabs>
          <w:tab w:leader="none" w:pos="1217"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w:t>
      </w:r>
    </w:p>
    <w:p>
      <w:pPr>
        <w:ind w:left="-6" w:right="40" w:firstLine="6"/>
        <w:spacing w:after="0" w:line="251" w:lineRule="auto"/>
        <w:tabs>
          <w:tab w:leader="none" w:pos="2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as is equal to (A) the aggregate exercise price for the portion of the Option being exercised divided by (B) the Fair Market Value on the date of exercise;</w:t>
      </w:r>
    </w:p>
    <w:p>
      <w:pPr>
        <w:spacing w:after="0" w:line="183" w:lineRule="exact"/>
        <w:rPr>
          <w:rFonts w:ascii="Times New Roman" w:cs="Times New Roman" w:eastAsia="Times New Roman" w:hAnsi="Times New Roman"/>
          <w:sz w:val="18"/>
          <w:szCs w:val="18"/>
          <w:color w:val="auto"/>
        </w:rPr>
      </w:pPr>
    </w:p>
    <w:p>
      <w:pPr>
        <w:ind w:left="-6" w:right="100" w:firstLine="979"/>
        <w:spacing w:after="0" w:line="274" w:lineRule="auto"/>
        <w:tabs>
          <w:tab w:leader="none" w:pos="121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by payment of such other lawful consideration as the Board may determine;</w:t>
      </w:r>
    </w:p>
    <w:p>
      <w:pPr>
        <w:spacing w:after="0" w:line="110" w:lineRule="exact"/>
        <w:rPr>
          <w:rFonts w:ascii="Times New Roman" w:cs="Times New Roman" w:eastAsia="Times New Roman" w:hAnsi="Times New Roman"/>
          <w:sz w:val="18"/>
          <w:szCs w:val="18"/>
          <w:color w:val="auto"/>
        </w:rPr>
      </w:pPr>
    </w:p>
    <w:p>
      <w:pPr>
        <w:ind w:left="1234" w:hanging="255"/>
        <w:spacing w:after="0"/>
        <w:tabs>
          <w:tab w:leader="none" w:pos="123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w:t>
      </w:r>
    </w:p>
    <w:p>
      <w:pPr>
        <w:spacing w:after="0" w:line="217" w:lineRule="exact"/>
        <w:rPr>
          <w:rFonts w:ascii="Times New Roman" w:cs="Times New Roman" w:eastAsia="Times New Roman" w:hAnsi="Times New Roman"/>
          <w:sz w:val="18"/>
          <w:szCs w:val="18"/>
          <w:color w:val="auto"/>
        </w:rPr>
      </w:pPr>
    </w:p>
    <w:p>
      <w:pPr>
        <w:ind w:left="-6" w:right="120" w:firstLine="439"/>
        <w:spacing w:after="0" w:line="274" w:lineRule="auto"/>
        <w:tabs>
          <w:tab w:leader="none" w:pos="6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Rights</w:t>
      </w:r>
      <w:r>
        <w:rPr>
          <w:rFonts w:ascii="Times New Roman" w:cs="Times New Roman" w:eastAsia="Times New Roman" w:hAnsi="Times New Roman"/>
          <w:sz w:val="18"/>
          <w:szCs w:val="18"/>
          <w:color w:val="auto"/>
        </w:rPr>
        <w:t>. No option granted under the Plan shall contain any provision entitling the grantee to the automatic grant of additional Options in connection with any exercise of the original Option.</w:t>
      </w:r>
    </w:p>
    <w:p>
      <w:pPr>
        <w:spacing w:after="0" w:line="163" w:lineRule="exact"/>
        <w:rPr>
          <w:rFonts w:ascii="Times New Roman" w:cs="Times New Roman" w:eastAsia="Times New Roman" w:hAnsi="Times New Roman"/>
          <w:sz w:val="18"/>
          <w:szCs w:val="18"/>
          <w:color w:val="auto"/>
        </w:rPr>
      </w:pPr>
    </w:p>
    <w:p>
      <w:pPr>
        <w:ind w:left="634" w:hanging="201"/>
        <w:spacing w:after="0"/>
        <w:tabs>
          <w:tab w:leader="none" w:pos="63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option shall provide for the payment or accrual of dividend equivalents.</w:t>
      </w:r>
    </w:p>
    <w:p>
      <w:pPr>
        <w:spacing w:after="0" w:line="323" w:lineRule="exact"/>
        <w:rPr>
          <w:sz w:val="20"/>
          <w:szCs w:val="20"/>
          <w:color w:val="auto"/>
        </w:rPr>
      </w:pPr>
    </w:p>
    <w:p>
      <w:pPr>
        <w:ind w:left="174" w:hanging="174"/>
        <w:spacing w:after="0"/>
        <w:tabs>
          <w:tab w:leader="none" w:pos="1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111" w:lineRule="exact"/>
        <w:rPr>
          <w:rFonts w:ascii="Times New Roman" w:cs="Times New Roman" w:eastAsia="Times New Roman" w:hAnsi="Times New Roman"/>
          <w:sz w:val="18"/>
          <w:szCs w:val="18"/>
          <w:color w:val="auto"/>
        </w:rPr>
      </w:pPr>
    </w:p>
    <w:p>
      <w:pPr>
        <w:jc w:val="both"/>
        <w:ind w:left="-6" w:right="40" w:firstLine="439"/>
        <w:spacing w:after="0" w:line="255" w:lineRule="auto"/>
        <w:tabs>
          <w:tab w:leader="none" w:pos="6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a Stock Appreciation Right (“SAR”) entitling the holder, upon exercise, to receive an amount in Common Stock or cash or a combination thereof (such form to be determined by the Board determined by reference to appreciation, from and after the date of grant, in the Fair Market Value of a share of Common Stock over the grant price established pursuant to Section 6(c)). The date as of which such appreciation is determined shall be the exercise date.</w:t>
      </w:r>
    </w:p>
    <w:p>
      <w:pPr>
        <w:spacing w:after="0" w:line="180" w:lineRule="exact"/>
        <w:rPr>
          <w:rFonts w:ascii="Times New Roman" w:cs="Times New Roman" w:eastAsia="Times New Roman" w:hAnsi="Times New Roman"/>
          <w:sz w:val="18"/>
          <w:szCs w:val="18"/>
          <w:color w:val="auto"/>
        </w:rPr>
      </w:pPr>
    </w:p>
    <w:p>
      <w:pPr>
        <w:ind w:left="674" w:hanging="241"/>
        <w:spacing w:after="0"/>
        <w:tabs>
          <w:tab w:leader="none" w:pos="6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Stock Appreciation Rights may be granted in tandem with, or independently of, Options granted under the Plan.</w:t>
      </w:r>
    </w:p>
    <w:p>
      <w:pPr>
        <w:spacing w:after="0" w:line="217" w:lineRule="exact"/>
        <w:rPr>
          <w:rFonts w:ascii="Times New Roman" w:cs="Times New Roman" w:eastAsia="Times New Roman" w:hAnsi="Times New Roman"/>
          <w:sz w:val="18"/>
          <w:szCs w:val="18"/>
          <w:color w:val="auto"/>
        </w:rPr>
      </w:pPr>
    </w:p>
    <w:p>
      <w:pPr>
        <w:ind w:left="-6" w:right="40" w:firstLine="979"/>
        <w:spacing w:after="0" w:line="249" w:lineRule="auto"/>
        <w:tabs>
          <w:tab w:leader="none" w:pos="121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Tandem Awards</w:t>
      </w:r>
      <w:r>
        <w:rPr>
          <w:rFonts w:ascii="Times New Roman" w:cs="Times New Roman" w:eastAsia="Times New Roman" w:hAnsi="Times New Roman"/>
          <w:sz w:val="18"/>
          <w:szCs w:val="18"/>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190" w:lineRule="exact"/>
        <w:rPr>
          <w:rFonts w:ascii="Times New Roman" w:cs="Times New Roman" w:eastAsia="Times New Roman" w:hAnsi="Times New Roman"/>
          <w:sz w:val="18"/>
          <w:szCs w:val="18"/>
          <w:color w:val="auto"/>
        </w:rPr>
      </w:pPr>
    </w:p>
    <w:p>
      <w:pPr>
        <w:ind w:left="-6" w:right="380" w:firstLine="979"/>
        <w:spacing w:after="0" w:line="274" w:lineRule="auto"/>
        <w:tabs>
          <w:tab w:leader="none" w:pos="121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SARs</w:t>
      </w:r>
      <w:r>
        <w:rPr>
          <w:rFonts w:ascii="Times New Roman" w:cs="Times New Roman" w:eastAsia="Times New Roman" w:hAnsi="Times New Roman"/>
          <w:sz w:val="18"/>
          <w:szCs w:val="18"/>
          <w:color w:val="auto"/>
        </w:rPr>
        <w:t>. A Stock Appreciation Right not expressly granted in tandem with an Option will become exercisable at such time or times, and on such conditions, as the Board may specify in the SAR agreement.</w:t>
      </w:r>
    </w:p>
    <w:p>
      <w:pPr>
        <w:spacing w:after="0" w:line="163" w:lineRule="exact"/>
        <w:rPr>
          <w:rFonts w:ascii="Times New Roman" w:cs="Times New Roman" w:eastAsia="Times New Roman" w:hAnsi="Times New Roman"/>
          <w:sz w:val="18"/>
          <w:szCs w:val="18"/>
          <w:color w:val="auto"/>
        </w:rPr>
      </w:pPr>
    </w:p>
    <w:p>
      <w:pPr>
        <w:ind w:left="-6" w:right="80" w:firstLine="439"/>
        <w:spacing w:after="0" w:line="259" w:lineRule="auto"/>
        <w:tabs>
          <w:tab w:leader="none" w:pos="6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Price</w:t>
      </w:r>
      <w:r>
        <w:rPr>
          <w:rFonts w:ascii="Times New Roman" w:cs="Times New Roman" w:eastAsia="Times New Roman" w:hAnsi="Times New Roman"/>
          <w:sz w:val="18"/>
          <w:szCs w:val="18"/>
          <w:color w:val="auto"/>
        </w:rPr>
        <w:t>. The Board shall establish the grant price or exercise price of a SAR or the formula by which such exercise or grant price will be determined. The exercise or grant price shall be specified in the applicable SAR agreement. The exercise or grant price shall not be less than 100% of the Fair Market Value per share of Common Stock on the date of grant of the SAR, provided that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34"/>
          </w:cols>
          <w:pgMar w:left="326" w:top="969" w:right="339" w:bottom="1440" w:gutter="0" w:footer="0" w:header="0"/>
        </w:sectPr>
      </w:pPr>
    </w:p>
    <w:bookmarkStart w:id="102" w:name="page103"/>
    <w:bookmarkEnd w:id="102"/>
    <w:p>
      <w:pPr>
        <w:ind w:right="300"/>
        <w:spacing w:after="0" w:line="274" w:lineRule="auto"/>
        <w:rPr>
          <w:sz w:val="20"/>
          <w:szCs w:val="20"/>
          <w:color w:val="auto"/>
        </w:rPr>
      </w:pPr>
      <w:r>
        <w:rPr>
          <w:rFonts w:ascii="Times New Roman" w:cs="Times New Roman" w:eastAsia="Times New Roman" w:hAnsi="Times New Roman"/>
          <w:sz w:val="18"/>
          <w:szCs w:val="18"/>
          <w:color w:val="auto"/>
        </w:rPr>
        <w:t>if the Board approved the grant of the SAR effective as of a future date, the grant price shall be not less than 100% of the Fair Market Value on such future date.</w:t>
      </w:r>
    </w:p>
    <w:p>
      <w:pPr>
        <w:spacing w:after="0" w:line="137" w:lineRule="exact"/>
        <w:rPr>
          <w:sz w:val="20"/>
          <w:szCs w:val="20"/>
          <w:color w:val="auto"/>
        </w:rPr>
      </w:pPr>
    </w:p>
    <w:p>
      <w:pPr>
        <w:ind w:left="680" w:hanging="241"/>
        <w:spacing w:after="0"/>
        <w:tabs>
          <w:tab w:leader="none" w:pos="6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a SAR shall not be more than 7 years from the date of grant.</w:t>
      </w:r>
    </w:p>
    <w:p>
      <w:pPr>
        <w:spacing w:after="0" w:line="217" w:lineRule="exact"/>
        <w:rPr>
          <w:rFonts w:ascii="Times New Roman" w:cs="Times New Roman" w:eastAsia="Times New Roman" w:hAnsi="Times New Roman"/>
          <w:sz w:val="18"/>
          <w:szCs w:val="18"/>
          <w:color w:val="auto"/>
        </w:rPr>
      </w:pPr>
    </w:p>
    <w:p>
      <w:pPr>
        <w:ind w:right="140" w:firstLine="439"/>
        <w:spacing w:after="0" w:line="274" w:lineRule="auto"/>
        <w:tabs>
          <w:tab w:leader="none" w:pos="67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Stock Appreciation Rights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163" w:lineRule="exact"/>
        <w:rPr>
          <w:rFonts w:ascii="Times New Roman" w:cs="Times New Roman" w:eastAsia="Times New Roman" w:hAnsi="Times New Roman"/>
          <w:sz w:val="18"/>
          <w:szCs w:val="18"/>
          <w:color w:val="auto"/>
        </w:rPr>
      </w:pPr>
    </w:p>
    <w:p>
      <w:pPr>
        <w:ind w:firstLine="439"/>
        <w:spacing w:after="0" w:line="250" w:lineRule="auto"/>
        <w:tabs>
          <w:tab w:leader="none" w:pos="6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 of SARs</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SAR granted under the Plan to provide an grant price per share that is lower than the then-current grant price per share of such outstanding SAR, (2) cancel any outstanding stock appreciation right (whether or not granted under the Plan) and grant in substitution therefor new Awards under the Plan (other than Awards granted pursuant to Section 4(d)) covering the same or a different number of shares of Common Stock and having a grant price per share lower than the then-current exercise price per share of the canceled SAR, (3) cancel in exchange for a cash payment any outstanding SAR with a grant price per share above the then-current Fair Market Value, or (4) take any other action under the Plan that constitutes a “repricing” within the meaning of the rules of the NASDAQ.</w:t>
      </w:r>
    </w:p>
    <w:p>
      <w:pPr>
        <w:spacing w:after="0" w:line="186" w:lineRule="exact"/>
        <w:rPr>
          <w:rFonts w:ascii="Times New Roman" w:cs="Times New Roman" w:eastAsia="Times New Roman" w:hAnsi="Times New Roman"/>
          <w:sz w:val="18"/>
          <w:szCs w:val="18"/>
          <w:color w:val="auto"/>
        </w:rPr>
      </w:pPr>
    </w:p>
    <w:p>
      <w:pPr>
        <w:ind w:right="380" w:firstLine="439"/>
        <w:spacing w:after="0" w:line="274" w:lineRule="auto"/>
        <w:tabs>
          <w:tab w:leader="none" w:pos="6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Rights</w:t>
      </w:r>
      <w:r>
        <w:rPr>
          <w:rFonts w:ascii="Times New Roman" w:cs="Times New Roman" w:eastAsia="Times New Roman" w:hAnsi="Times New Roman"/>
          <w:sz w:val="18"/>
          <w:szCs w:val="18"/>
          <w:color w:val="auto"/>
        </w:rPr>
        <w:t>. No SAR granted under the Plan shall contain any provision entitling the grantee to the automatic grant of additional SARs in connection with any exercise of the original SAR.</w:t>
      </w:r>
    </w:p>
    <w:p>
      <w:pPr>
        <w:spacing w:after="0" w:line="163"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SAR shall provide for the payment or accrual of dividend equivalents.</w:t>
      </w:r>
    </w:p>
    <w:p>
      <w:pPr>
        <w:spacing w:after="0" w:line="323"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Restricted Stock Units Stock</w:t>
      </w:r>
    </w:p>
    <w:p>
      <w:pPr>
        <w:spacing w:after="0" w:line="111" w:lineRule="exact"/>
        <w:rPr>
          <w:rFonts w:ascii="Times New Roman" w:cs="Times New Roman" w:eastAsia="Times New Roman" w:hAnsi="Times New Roman"/>
          <w:sz w:val="18"/>
          <w:szCs w:val="18"/>
          <w:color w:val="auto"/>
        </w:rPr>
      </w:pPr>
    </w:p>
    <w:p>
      <w:pPr>
        <w:ind w:right="140" w:firstLine="439"/>
        <w:spacing w:after="0" w:line="251" w:lineRule="auto"/>
        <w:tabs>
          <w:tab w:leader="none" w:pos="67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 addition, the Board may grant Awards entitling the recipient to receive shares of Common Stock or cash to be delivered at a future date on or after such Award vests (“Restricted Stock Units”). (Restricted Stock and Restricted Stock Units are each referred to herein as a “Restricted Stock Award”.)</w:t>
      </w:r>
    </w:p>
    <w:p>
      <w:pPr>
        <w:spacing w:after="0" w:line="145" w:lineRule="exact"/>
        <w:rPr>
          <w:rFonts w:ascii="Times New Roman" w:cs="Times New Roman" w:eastAsia="Times New Roman" w:hAnsi="Times New Roman"/>
          <w:sz w:val="18"/>
          <w:szCs w:val="18"/>
          <w:color w:val="auto"/>
        </w:rPr>
      </w:pPr>
    </w:p>
    <w:p>
      <w:pPr>
        <w:ind w:right="220" w:firstLine="439"/>
        <w:spacing w:after="0" w:line="274" w:lineRule="auto"/>
        <w:tabs>
          <w:tab w:leader="none" w:pos="68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all Restricted Stock Awards</w:t>
      </w:r>
      <w:r>
        <w:rPr>
          <w:rFonts w:ascii="Times New Roman" w:cs="Times New Roman" w:eastAsia="Times New Roman" w:hAnsi="Times New Roman"/>
          <w:sz w:val="18"/>
          <w:szCs w:val="18"/>
          <w:color w:val="auto"/>
        </w:rPr>
        <w:t>. The Board shall determine the terms and conditions of a Restricted Stock Award, including the conditions for vesting and repurchase (or forfeiture) and the issue price, if any.</w:t>
      </w:r>
    </w:p>
    <w:p>
      <w:pPr>
        <w:spacing w:after="0" w:line="189"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firstLine="979"/>
        <w:spacing w:after="0" w:line="252" w:lineRule="auto"/>
        <w:tabs>
          <w:tab w:leader="none" w:pos="122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Any dividend (whether paid in cash, stock or property) declared and paid by the Company with respect to shares of Restricted Stock (“Unvested Dividends”)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the shareholders of that class of stock or, if later, the 15th day of the third month following the date of the lapsing of the restrictions on transferability and the forfeitability provisions applicable to the underlying shares of Restricted Stock. No interest will be paid on Unvested Dividends.</w:t>
      </w:r>
    </w:p>
    <w:p>
      <w:pPr>
        <w:spacing w:after="0" w:line="185" w:lineRule="exact"/>
        <w:rPr>
          <w:rFonts w:ascii="Times New Roman" w:cs="Times New Roman" w:eastAsia="Times New Roman" w:hAnsi="Times New Roman"/>
          <w:sz w:val="18"/>
          <w:szCs w:val="18"/>
          <w:color w:val="auto"/>
        </w:rPr>
      </w:pPr>
    </w:p>
    <w:p>
      <w:pPr>
        <w:ind w:firstLine="979"/>
        <w:spacing w:after="0" w:line="251" w:lineRule="auto"/>
        <w:tabs>
          <w:tab w:leader="none" w:pos="122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any stock certificates issued in respect of shares of Restricted Stock, as well as any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85"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 Units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60" w:firstLine="979"/>
        <w:spacing w:after="0" w:line="255" w:lineRule="auto"/>
        <w:tabs>
          <w:tab w:leader="none" w:pos="122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(i.e., settlement) with respect to each Restricted Stock Unit, the Participant shall be entitled to receive from the Company the number of shares of Common Stock specified in the Award agreement or an amount of cash equal to the Fair Market Value of such number of shares, as provided in the applicable Award agreement. The Board may provide that settlement of Restricted Stock Units shall be deferred, on a mandatory basis or at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69" w:right="339" w:bottom="1440" w:gutter="0" w:footer="0" w:header="0"/>
        </w:sectPr>
      </w:pPr>
    </w:p>
    <w:bookmarkStart w:id="103" w:name="page104"/>
    <w:bookmarkEnd w:id="103"/>
    <w:p>
      <w:pPr>
        <w:ind w:right="520"/>
        <w:spacing w:after="0" w:line="274" w:lineRule="auto"/>
        <w:rPr>
          <w:sz w:val="20"/>
          <w:szCs w:val="20"/>
          <w:color w:val="auto"/>
        </w:rPr>
      </w:pPr>
      <w:r>
        <w:rPr>
          <w:rFonts w:ascii="Times New Roman" w:cs="Times New Roman" w:eastAsia="Times New Roman" w:hAnsi="Times New Roman"/>
          <w:sz w:val="18"/>
          <w:szCs w:val="18"/>
          <w:color w:val="auto"/>
        </w:rPr>
        <w:t>election of the Participant, in a manner that complies with Code Section 409A. Any Restricted Stock Units with a mandatory or elected deferral may be referred to by the Board as “Deferred Stock Units.”</w:t>
      </w:r>
    </w:p>
    <w:p>
      <w:pPr>
        <w:spacing w:after="0" w:line="163" w:lineRule="exact"/>
        <w:rPr>
          <w:sz w:val="20"/>
          <w:szCs w:val="20"/>
          <w:color w:val="auto"/>
        </w:rPr>
      </w:pPr>
    </w:p>
    <w:p>
      <w:pPr>
        <w:ind w:left="1220" w:hanging="241"/>
        <w:spacing w:after="0"/>
        <w:tabs>
          <w:tab w:leader="none" w:pos="12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Restricted Stock Units.</w:t>
      </w:r>
    </w:p>
    <w:p>
      <w:pPr>
        <w:spacing w:after="0" w:line="190" w:lineRule="exact"/>
        <w:rPr>
          <w:rFonts w:ascii="Times New Roman" w:cs="Times New Roman" w:eastAsia="Times New Roman" w:hAnsi="Times New Roman"/>
          <w:sz w:val="18"/>
          <w:szCs w:val="18"/>
          <w:color w:val="auto"/>
        </w:rPr>
      </w:pPr>
    </w:p>
    <w:p>
      <w:pPr>
        <w:ind w:right="120" w:firstLine="979"/>
        <w:spacing w:after="0" w:line="252" w:lineRule="auto"/>
        <w:tabs>
          <w:tab w:leader="none" w:pos="122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(“Dividend Equivalents”). Dividend Equivalents shall be credited to an account for the Participants, may be settled in cash and/or shares of Common Stock and shall be subject to the same restrictions on transfer and forfeitability as the Restricted Stock Units with respect to which paid, in each case to be set forth in the applicable Award agreement. No interest will be paid on Dividend Equivalents.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w:t>
      </w:r>
    </w:p>
    <w:p>
      <w:pPr>
        <w:spacing w:after="0" w:line="111"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Board may grant other Awards of shares of Common Stock, and other Awards that are valued in whole or in part by reference to, or are otherwise based on, shares of Common Stock or other property (“Other Stock-Based Awards”), including without limitation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Performance Awards or other Awards denominated in cash rather than shares of Common Stock (“Cash-Based Awards”). Subject to the provisions of the Plan, the Board shall determine the terms and conditions of each Other Stock-Based Award, including any purchase price applicable thereto, and the terms and conditions of each Cash-Based Award.</w:t>
      </w:r>
    </w:p>
    <w:p>
      <w:pPr>
        <w:spacing w:after="0" w:line="280" w:lineRule="exact"/>
        <w:rPr>
          <w:sz w:val="20"/>
          <w:szCs w:val="20"/>
          <w:color w:val="auto"/>
        </w:rPr>
      </w:pPr>
    </w:p>
    <w:p>
      <w:pPr>
        <w:ind w:left="180" w:hanging="174"/>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Changes in Common Stock and Certain Other Events</w:t>
      </w:r>
    </w:p>
    <w:p>
      <w:pPr>
        <w:spacing w:after="0" w:line="111" w:lineRule="exact"/>
        <w:rPr>
          <w:rFonts w:ascii="Times New Roman" w:cs="Times New Roman" w:eastAsia="Times New Roman" w:hAnsi="Times New Roman"/>
          <w:sz w:val="18"/>
          <w:szCs w:val="18"/>
          <w:color w:val="auto"/>
        </w:rPr>
      </w:pPr>
    </w:p>
    <w:p>
      <w:pPr>
        <w:ind w:right="100" w:firstLine="439"/>
        <w:spacing w:after="0" w:line="249" w:lineRule="auto"/>
        <w:tabs>
          <w:tab w:leader="none" w:pos="6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sublimit set forth in Section 4(c), (iii) the number and class of securities and exercise price per share of each outstanding Option, (iv) the share- and per-share provisions and the grant price of each Stock Appreciation Right, (v) the number of shares subject to and the repurchase price per share subject to each outstanding Restricted Stock Award and (vi) the share- and per-share-related provisions and the purchase price, if any, of each outstanding Other Stock-Based Award, shall be equitably adjusted by the Company (or substituted Awards may be made, if applicable) in the manner determined by the Board. If this Section 9(a) applies and Section 9(b) also applies to any event, Section 9(b) shall be applicable to such event, and this Section 9(a) shall not be applicable.</w:t>
      </w:r>
    </w:p>
    <w:p>
      <w:pPr>
        <w:spacing w:after="0" w:line="190"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Events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1120" w:hanging="249"/>
        <w:spacing w:after="0"/>
        <w:tabs>
          <w:tab w:leader="none" w:pos="11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080" w:hanging="20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Event” shall mean:</w:t>
      </w:r>
    </w:p>
    <w:p>
      <w:pPr>
        <w:spacing w:after="0" w:line="111" w:lineRule="exact"/>
        <w:rPr>
          <w:rFonts w:ascii="Times New Roman" w:cs="Times New Roman" w:eastAsia="Times New Roman" w:hAnsi="Times New Roman"/>
          <w:sz w:val="18"/>
          <w:szCs w:val="18"/>
          <w:color w:val="auto"/>
        </w:rPr>
      </w:pPr>
    </w:p>
    <w:p>
      <w:pPr>
        <w:ind w:right="240" w:firstLine="1411"/>
        <w:spacing w:after="0" w:line="274" w:lineRule="auto"/>
        <w:tabs>
          <w:tab w:leader="none" w:pos="16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Company with or into another entity as a result of which the Common Stock is converted into or exchanged for the right to receive cash, securities or other property or is canceled;</w:t>
      </w:r>
    </w:p>
    <w:p>
      <w:pPr>
        <w:spacing w:after="0" w:line="123" w:lineRule="exact"/>
        <w:rPr>
          <w:rFonts w:ascii="Times New Roman" w:cs="Times New Roman" w:eastAsia="Times New Roman" w:hAnsi="Times New Roman"/>
          <w:sz w:val="18"/>
          <w:szCs w:val="18"/>
          <w:color w:val="auto"/>
        </w:rPr>
      </w:pPr>
    </w:p>
    <w:p>
      <w:pPr>
        <w:ind w:left="1700" w:hanging="289"/>
        <w:spacing w:after="0"/>
        <w:tabs>
          <w:tab w:leader="none" w:pos="17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exchange of shares of Common Stock of the Company for cash, securities or other property pursuant to a share exchange or other</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transaction;</w:t>
      </w:r>
    </w:p>
    <w:p>
      <w:pPr>
        <w:spacing w:after="0" w:line="197" w:lineRule="exact"/>
        <w:rPr>
          <w:rFonts w:ascii="Times New Roman" w:cs="Times New Roman" w:eastAsia="Times New Roman" w:hAnsi="Times New Roman"/>
          <w:sz w:val="17"/>
          <w:szCs w:val="17"/>
          <w:color w:val="auto"/>
        </w:rPr>
      </w:pPr>
    </w:p>
    <w:p>
      <w:pPr>
        <w:jc w:val="both"/>
        <w:ind w:right="120" w:firstLine="1411"/>
        <w:spacing w:after="0" w:line="255" w:lineRule="auto"/>
        <w:tabs>
          <w:tab w:leader="none" w:pos="168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which results in the voting securities of the Company outstanding immediately prior thereto representing immediately thereafter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w:t>
      </w:r>
    </w:p>
    <w:p>
      <w:pPr>
        <w:spacing w:after="0" w:line="180" w:lineRule="exact"/>
        <w:rPr>
          <w:rFonts w:ascii="Times New Roman" w:cs="Times New Roman" w:eastAsia="Times New Roman" w:hAnsi="Times New Roman"/>
          <w:sz w:val="18"/>
          <w:szCs w:val="18"/>
          <w:color w:val="auto"/>
        </w:rPr>
      </w:pPr>
    </w:p>
    <w:p>
      <w:pPr>
        <w:ind w:right="20" w:firstLine="1411"/>
        <w:spacing w:after="0" w:line="259" w:lineRule="auto"/>
        <w:tabs>
          <w:tab w:leader="none" w:pos="16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50% or more of either (I) the then-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69" w:right="339" w:bottom="1440" w:gutter="0" w:footer="0" w:header="0"/>
        </w:sectPr>
      </w:pPr>
    </w:p>
    <w:bookmarkStart w:id="104" w:name="page105"/>
    <w:bookmarkEnd w:id="104"/>
    <w:p>
      <w:pPr>
        <w:ind w:right="780"/>
        <w:spacing w:after="0" w:line="304" w:lineRule="auto"/>
        <w:rPr>
          <w:sz w:val="20"/>
          <w:szCs w:val="20"/>
          <w:color w:val="auto"/>
        </w:rPr>
      </w:pPr>
      <w:r>
        <w:rPr>
          <w:rFonts w:ascii="Times New Roman" w:cs="Times New Roman" w:eastAsia="Times New Roman" w:hAnsi="Times New Roman"/>
          <w:sz w:val="17"/>
          <w:szCs w:val="17"/>
          <w:color w:val="auto"/>
        </w:rPr>
        <w:t>outstanding shares of Common Stock of the Company (the “Outstanding Company Common Stock”) or (II) the combined voting power of the then-outstanding voting securities of the Company entitled to vote generally in the election of directors (the “Outstanding Company Voting Securities”);</w:t>
      </w:r>
    </w:p>
    <w:p>
      <w:pPr>
        <w:spacing w:after="0" w:line="14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provided, however, that for purposes of this subsection (D), the following acquisitions shall not constitute a Change in Control Event:</w:t>
      </w:r>
    </w:p>
    <w:p>
      <w:pPr>
        <w:spacing w:after="0" w:line="24" w:lineRule="exact"/>
        <w:rPr>
          <w:sz w:val="20"/>
          <w:szCs w:val="20"/>
          <w:color w:val="auto"/>
        </w:rPr>
      </w:pPr>
    </w:p>
    <w:p>
      <w:pPr>
        <w:ind w:right="120" w:firstLine="6"/>
        <w:spacing w:after="0" w:line="246"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which results in all or substantially all of the individuals and entities who were the beneficial owners of the Outstanding Company Common Stock and Outstanding Company Voting Securities immediately prior to such transaction beneficially owning, directly or indirectly, more than 50% of the then-outstanding shares of common stock and the combined voting power of the then-outstanding voting securities entitled to vote generally in the election of directors, respectively, of the resulting or acquiring corporation in such transaction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transaction, of the Outstanding Company Common Stock and Outstanding Company Voting Securities, respectively;</w:t>
      </w:r>
    </w:p>
    <w:p>
      <w:pPr>
        <w:spacing w:after="0" w:line="191" w:lineRule="exact"/>
        <w:rPr>
          <w:rFonts w:ascii="Times New Roman" w:cs="Times New Roman" w:eastAsia="Times New Roman" w:hAnsi="Times New Roman"/>
          <w:sz w:val="18"/>
          <w:szCs w:val="18"/>
          <w:color w:val="auto"/>
        </w:rPr>
      </w:pPr>
    </w:p>
    <w:p>
      <w:pPr>
        <w:ind w:left="1680" w:hanging="269"/>
        <w:spacing w:after="0"/>
        <w:tabs>
          <w:tab w:leader="none" w:pos="168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of the assets of the Company; or</w:t>
      </w:r>
    </w:p>
    <w:p>
      <w:pPr>
        <w:spacing w:after="0" w:line="217" w:lineRule="exact"/>
        <w:rPr>
          <w:rFonts w:ascii="Times New Roman" w:cs="Times New Roman" w:eastAsia="Times New Roman" w:hAnsi="Times New Roman"/>
          <w:sz w:val="18"/>
          <w:szCs w:val="18"/>
          <w:color w:val="auto"/>
        </w:rPr>
      </w:pPr>
    </w:p>
    <w:p>
      <w:pPr>
        <w:ind w:left="1680" w:hanging="269"/>
        <w:spacing w:after="0"/>
        <w:tabs>
          <w:tab w:leader="none" w:pos="168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of the Company.</w:t>
      </w:r>
    </w:p>
    <w:p>
      <w:pPr>
        <w:spacing w:after="0" w:line="164" w:lineRule="exact"/>
        <w:rPr>
          <w:rFonts w:ascii="Times New Roman" w:cs="Times New Roman" w:eastAsia="Times New Roman" w:hAnsi="Times New Roman"/>
          <w:sz w:val="18"/>
          <w:szCs w:val="18"/>
          <w:color w:val="auto"/>
        </w:rPr>
      </w:pPr>
    </w:p>
    <w:p>
      <w:pPr>
        <w:ind w:right="20" w:firstLine="985"/>
        <w:spacing w:after="0" w:line="251" w:lineRule="auto"/>
        <w:tabs>
          <w:tab w:leader="none" w:pos="1239"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mean (A) a material reduction in the Participant’s base compensation; or (B) a requirement that the Participant relocate to, or perform his or her principal job functions at, an office that is more than twenty-five (25) miles from the office at which the Participant was previously performing his or her principal job functions; provided, however, that no such event shall constitute Good Reason unless (X) the Participant gives the Company a written notice of termination for Good Reason not more than 90 days after the initial existence of the condition, (Y) the grounds for termination (if susceptible to correction) are not corrected by the Company within 30 days of its receipt of such notice and (Z) the Participant’s termination of employment occurs within one year following the Company’s receipt of such notice.</w:t>
      </w:r>
    </w:p>
    <w:p>
      <w:pPr>
        <w:spacing w:after="0" w:line="185" w:lineRule="exact"/>
        <w:rPr>
          <w:rFonts w:ascii="Times New Roman" w:cs="Times New Roman" w:eastAsia="Times New Roman" w:hAnsi="Times New Roman"/>
          <w:sz w:val="18"/>
          <w:szCs w:val="18"/>
          <w:color w:val="auto"/>
        </w:rPr>
      </w:pPr>
    </w:p>
    <w:p>
      <w:pPr>
        <w:ind w:firstLine="979"/>
        <w:spacing w:after="0" w:line="272" w:lineRule="auto"/>
        <w:tabs>
          <w:tab w:leader="none" w:pos="1282"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shall mean (A) any act or omission by the Participant that has a significant adverse effect on the Company’s business or on the Participant’s ability to perform services for the Company, including, without limitation, the commission of any crime (other than ordinary traffic violations), or</w:t>
      </w:r>
    </w:p>
    <w:p>
      <w:pPr>
        <w:ind w:right="180" w:firstLine="6"/>
        <w:spacing w:after="0" w:line="251" w:lineRule="auto"/>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or failure to perform assigned duties, serious misconduct, or excessive absenteeism, or (C) refusal or failure to comply with the Company’s Code of Business Ethics.</w:t>
      </w:r>
    </w:p>
    <w:p>
      <w:pPr>
        <w:spacing w:after="0" w:line="183"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Awards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100" w:firstLine="979"/>
        <w:spacing w:after="0" w:line="250" w:lineRule="auto"/>
        <w:tabs>
          <w:tab w:leader="none" w:pos="118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Change in Control Event, except to the extent specifically provided to the contrary in the instrument evidencing the Award or any other agreement between the Participant and the Company, all Performance Awards (as defined below) shall be deemed earned immediately prior to the Change in Control Event based upon achievement of (A) actual performance of the applicable metrics for any Performance Awards for which the applicable performance period has been fully completed as of the date of the Change in Control Event and (B) target level performance of the applicable performance metrics for any Performance Awards for which the performance period has not been completed or has been partially completed as of the date of the Change in Control Event (any Performance Awards that are deemed earned pursuant to this Section 9(b)(2)(i), “Earned Performance Awards”).</w:t>
      </w:r>
    </w:p>
    <w:p>
      <w:pPr>
        <w:spacing w:after="0" w:line="186" w:lineRule="exact"/>
        <w:rPr>
          <w:rFonts w:ascii="Times New Roman" w:cs="Times New Roman" w:eastAsia="Times New Roman" w:hAnsi="Times New Roman"/>
          <w:sz w:val="18"/>
          <w:szCs w:val="18"/>
          <w:color w:val="auto"/>
        </w:rPr>
      </w:pPr>
    </w:p>
    <w:p>
      <w:pPr>
        <w:ind w:right="20" w:firstLine="979"/>
        <w:spacing w:after="0" w:line="248" w:lineRule="auto"/>
        <w:tabs>
          <w:tab w:leader="none" w:pos="123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in Control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Change in Control Event do not provide for the assumption, continuation or substitution of Awards, upon the effective time of the Change in Control Event, the Plan and all outstanding Awards granted hereunder shall terminate. In such case, except to the extent specifically provided to the contrary in the instrument evidencing the Award or any other agreement between the Participant and the Company, all Awards with time-based vesting conditions or restrictions that are not vested and/or exercisable immediately prior to the effective time of the Change in Control Event and all Earned Performance Awards shall become fully vested and exercisable as of immediately prior to the effective time of the Change in Control Event. In the event of a termination of outstanding Awards granted under the Plan upon a Change in Control Event, (A) the Company shall have the option (in its sole discretion) to make or provide for a payment, in cash or in kind, to the Participant holding Options and SARs, in exchange for the cancellation thereof, in an amount equal to the difference between (x) the price paid for each share of Common Stock in the Change in Control Event (the “Sale Price”) multiplied by the number of shares of Common Stock subject to outstanding Options and SARs (to the extent then exercisable at prices not in excess of the Sale Price) and (y) the aggregate exercise price of all such outstanding Options and SARs (provided that, in the case of an Option or SAR with an exercise price equal to 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69" w:right="339" w:bottom="1440" w:gutter="0" w:footer="0" w:header="0"/>
        </w:sectPr>
      </w:pPr>
    </w:p>
    <w:bookmarkStart w:id="105" w:name="page106"/>
    <w:bookmarkEnd w:id="105"/>
    <w:p>
      <w:pPr>
        <w:spacing w:after="0" w:line="252" w:lineRule="auto"/>
        <w:rPr>
          <w:sz w:val="20"/>
          <w:szCs w:val="20"/>
          <w:color w:val="auto"/>
        </w:rPr>
      </w:pPr>
      <w:r>
        <w:rPr>
          <w:rFonts w:ascii="Times New Roman" w:cs="Times New Roman" w:eastAsia="Times New Roman" w:hAnsi="Times New Roman"/>
          <w:sz w:val="18"/>
          <w:szCs w:val="18"/>
          <w:color w:val="auto"/>
        </w:rPr>
        <w:t>greater than the Sale Price, such Option or SAR shall be cancelled for no consideration); or (B) each Participant shall be permitted, within a specified period of time prior to the consummation of the Change in Control Event as determined by the Board, to exercise all outstanding Options and SARs (to the extent then exercisable) held by such Participant. The Company shall also have the option (in its sole discretion) to make or provide for a payment, in cash or in kind, to Participants holding Awards other than Options and SARs in an amount equal to the Sale Price multiplied by the number of vested shares of Common Stock underlying such Awards.</w:t>
      </w:r>
    </w:p>
    <w:p>
      <w:pPr>
        <w:spacing w:after="0" w:line="185" w:lineRule="exact"/>
        <w:rPr>
          <w:sz w:val="20"/>
          <w:szCs w:val="20"/>
          <w:color w:val="auto"/>
        </w:rPr>
      </w:pPr>
    </w:p>
    <w:p>
      <w:pPr>
        <w:ind w:right="20" w:firstLine="973"/>
        <w:spacing w:after="0" w:line="265" w:lineRule="auto"/>
        <w:rPr>
          <w:sz w:val="20"/>
          <w:szCs w:val="20"/>
          <w:color w:val="auto"/>
        </w:rPr>
      </w:pPr>
      <w:r>
        <w:rPr>
          <w:rFonts w:ascii="Times New Roman" w:cs="Times New Roman" w:eastAsia="Times New Roman" w:hAnsi="Times New Roman"/>
          <w:sz w:val="17"/>
          <w:szCs w:val="17"/>
          <w:color w:val="auto"/>
        </w:rPr>
        <w:t>For purposes of this Section 9(b)(2)(ii), an Award shall be considered assumed if, following consummation of the Change in Control Event, such Award confers the right to purchase or receive pursuant to the terms of such Award, for each share of Common Stock subject to the Award immediately prior to the consummation of the Change in Control Event, the consideration (whether cash, securities or other property) received as a result of the Change in Control Event by holders of Common Stock for each share of Common Stock held immediately prior to the consummation of the Change in Control Event (and if holders were offered a choice of consideration, the type of consideration chosen by the holders of a majority of the outstanding shares of Common Stock); provided, however, that if the consideration received as a result of the Change in Control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Change in Control Event.</w:t>
      </w:r>
    </w:p>
    <w:p>
      <w:pPr>
        <w:spacing w:after="0" w:line="174" w:lineRule="exact"/>
        <w:rPr>
          <w:sz w:val="20"/>
          <w:szCs w:val="20"/>
          <w:color w:val="auto"/>
        </w:rPr>
      </w:pPr>
    </w:p>
    <w:p>
      <w:pPr>
        <w:ind w:right="120" w:firstLine="979"/>
        <w:spacing w:after="0" w:line="251" w:lineRule="auto"/>
        <w:tabs>
          <w:tab w:leader="none" w:pos="12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parties to a Change in Control Event provide for the assumption, continuation or substitution of Awards, except to the extent specifically provided to the contrary in the instrument evidencing the Award or any other agreement between the Participant and the Company, each such assumed, continued or substituted Award (including, for the avoidance of doubt, any Earned Performance Award) shall become immediately vested, exercisable, or free from forfeiture, as applicable, upon the termination of the Participant’s employment if the Participant’s employment with the Company or a successor corporation is terminated for Good Reason by the Participant or is terminated without Cause by the Company or the successor corporation, in either case on or prior to the first anniversary of the date of the consummation of a Change in Control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General Provisions Applicable to Awards</w:t>
      </w:r>
    </w:p>
    <w:p>
      <w:pPr>
        <w:spacing w:after="0" w:line="217" w:lineRule="exact"/>
        <w:rPr>
          <w:sz w:val="20"/>
          <w:szCs w:val="20"/>
          <w:color w:val="auto"/>
        </w:rPr>
      </w:pPr>
    </w:p>
    <w:p>
      <w:pPr>
        <w:ind w:right="120" w:firstLine="439"/>
        <w:spacing w:after="0" w:line="264" w:lineRule="auto"/>
        <w:tabs>
          <w:tab w:leader="none" w:pos="67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 of Awards</w:t>
      </w:r>
      <w:r>
        <w:rPr>
          <w:rFonts w:ascii="Times New Roman" w:cs="Times New Roman" w:eastAsia="Times New Roman" w:hAnsi="Times New Roman"/>
          <w:sz w:val="17"/>
          <w:szCs w:val="17"/>
          <w:color w:val="auto"/>
        </w:rPr>
        <w:t>. Awards shall not be sold, assigned, transferred, pledged or otherwise encumbered by the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provided that Incentive Stock Options and Awards that are subject to Section 409A of the Code may be transferable only to the extent permitted by the Code;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78" w:lineRule="exact"/>
        <w:rPr>
          <w:rFonts w:ascii="Times New Roman" w:cs="Times New Roman" w:eastAsia="Times New Roman" w:hAnsi="Times New Roman"/>
          <w:sz w:val="17"/>
          <w:szCs w:val="17"/>
          <w:color w:val="auto"/>
        </w:rPr>
      </w:pPr>
    </w:p>
    <w:p>
      <w:pPr>
        <w:ind w:right="340" w:firstLine="439"/>
        <w:spacing w:after="0" w:line="259" w:lineRule="auto"/>
        <w:tabs>
          <w:tab w:leader="none" w:pos="6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(but, except as expressly contemplated by another provision herein, not inconsistent with) those set forth in the Plan.</w:t>
      </w:r>
    </w:p>
    <w:p>
      <w:pPr>
        <w:spacing w:after="0" w:line="177" w:lineRule="exact"/>
        <w:rPr>
          <w:rFonts w:ascii="Times New Roman" w:cs="Times New Roman" w:eastAsia="Times New Roman" w:hAnsi="Times New Roman"/>
          <w:sz w:val="18"/>
          <w:szCs w:val="18"/>
          <w:color w:val="auto"/>
        </w:rPr>
      </w:pPr>
    </w:p>
    <w:p>
      <w:pPr>
        <w:ind w:right="300" w:firstLine="439"/>
        <w:spacing w:after="0" w:line="274" w:lineRule="auto"/>
        <w:tabs>
          <w:tab w:leader="none" w:pos="6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Discretion</w:t>
      </w:r>
      <w:r>
        <w:rPr>
          <w:rFonts w:ascii="Times New Roman" w:cs="Times New Roman" w:eastAsia="Times New Roman" w:hAnsi="Times New Roman"/>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63" w:lineRule="exact"/>
        <w:rPr>
          <w:rFonts w:ascii="Times New Roman" w:cs="Times New Roman" w:eastAsia="Times New Roman" w:hAnsi="Times New Roman"/>
          <w:sz w:val="18"/>
          <w:szCs w:val="18"/>
          <w:color w:val="auto"/>
        </w:rPr>
      </w:pPr>
    </w:p>
    <w:p>
      <w:pPr>
        <w:ind w:right="280" w:firstLine="439"/>
        <w:spacing w:after="0" w:line="255" w:lineRule="auto"/>
        <w:tabs>
          <w:tab w:leader="none" w:pos="6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153" w:lineRule="exact"/>
        <w:rPr>
          <w:rFonts w:ascii="Times New Roman" w:cs="Times New Roman" w:eastAsia="Times New Roman" w:hAnsi="Times New Roman"/>
          <w:sz w:val="18"/>
          <w:szCs w:val="18"/>
          <w:color w:val="auto"/>
        </w:rPr>
      </w:pPr>
    </w:p>
    <w:p>
      <w:pPr>
        <w:ind w:right="80" w:firstLine="439"/>
        <w:spacing w:after="0" w:line="259" w:lineRule="auto"/>
        <w:tabs>
          <w:tab w:leader="none" w:pos="6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69" w:right="339" w:bottom="1440" w:gutter="0" w:footer="0" w:header="0"/>
        </w:sectPr>
      </w:pPr>
    </w:p>
    <w:bookmarkStart w:id="106" w:name="page107"/>
    <w:bookmarkEnd w:id="106"/>
    <w:p>
      <w:pPr>
        <w:spacing w:after="0" w:line="263" w:lineRule="auto"/>
        <w:rPr>
          <w:sz w:val="20"/>
          <w:szCs w:val="20"/>
          <w:color w:val="auto"/>
        </w:rPr>
      </w:pPr>
      <w:r>
        <w:rPr>
          <w:rFonts w:ascii="Times New Roman" w:cs="Times New Roman" w:eastAsia="Times New Roman" w:hAnsi="Times New Roman"/>
          <w:sz w:val="17"/>
          <w:szCs w:val="17"/>
          <w:color w:val="auto"/>
        </w:rPr>
        <w:t>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The Board may require the Company’s tax withholding obligations to be satisfied, in whole or in part, by delivery (either by actual delivery or attestation) of shares of Common Stock, including shares retained from the Award creating the tax obligation, valued at their fair market value (valued in the manner determined by (or in a manner approved by) the Company); provided, however, except as otherwise provided by the Committee,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The Board may also require the Company’s tax withholding obligation to be satisfied, in whole or in part, by an arrangement whereby a certain number of shares of Common Stock issued pursuant to any Award are immediately sold and proceeds from such sale are remitted to the Company in an amount that would satisfy the withholding amount due. Shares used to satisfy tax withholding requirements cannot be subject to any repurchase, forfeiture, unfulfilled vesting or other similar requirements.</w:t>
      </w:r>
    </w:p>
    <w:p>
      <w:pPr>
        <w:spacing w:after="0" w:line="177" w:lineRule="exact"/>
        <w:rPr>
          <w:sz w:val="20"/>
          <w:szCs w:val="20"/>
          <w:color w:val="auto"/>
        </w:rPr>
      </w:pPr>
    </w:p>
    <w:p>
      <w:pPr>
        <w:ind w:firstLine="439"/>
        <w:spacing w:after="0" w:line="252" w:lineRule="auto"/>
        <w:tabs>
          <w:tab w:leader="none" w:pos="65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provided in Sections 5(d) and 6(f),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such action shall be required unless either (i) the Board determines that the action, taking into account any related action, would not materially and adversely affect the Participant or (ii) that the change is permitted under Section 9 hereof.</w:t>
      </w:r>
    </w:p>
    <w:p>
      <w:pPr>
        <w:spacing w:after="0" w:line="158" w:lineRule="exact"/>
        <w:rPr>
          <w:rFonts w:ascii="Times New Roman" w:cs="Times New Roman" w:eastAsia="Times New Roman" w:hAnsi="Times New Roman"/>
          <w:sz w:val="18"/>
          <w:szCs w:val="18"/>
          <w:color w:val="auto"/>
        </w:rPr>
      </w:pPr>
    </w:p>
    <w:p>
      <w:pPr>
        <w:ind w:right="60" w:firstLine="439"/>
        <w:spacing w:after="0" w:line="272" w:lineRule="auto"/>
        <w:tabs>
          <w:tab w:leader="none" w:pos="683"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jc w:val="both"/>
        <w:ind w:right="120" w:firstLine="6"/>
        <w:spacing w:after="0" w:line="247" w:lineRule="auto"/>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8" w:lineRule="exact"/>
        <w:rPr>
          <w:rFonts w:ascii="Times New Roman" w:cs="Times New Roman" w:eastAsia="Times New Roman" w:hAnsi="Times New Roman"/>
          <w:sz w:val="18"/>
          <w:szCs w:val="18"/>
          <w:color w:val="auto"/>
        </w:rPr>
      </w:pPr>
    </w:p>
    <w:p>
      <w:pPr>
        <w:ind w:right="60" w:firstLine="439"/>
        <w:spacing w:after="0" w:line="274" w:lineRule="auto"/>
        <w:tabs>
          <w:tab w:leader="none" w:pos="68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Except as set forth in Section 10(i), the Board may at any time provide that any Award shall become immediately exercisable in full or in part, free of some or all restrictions or conditions, or otherwise realizable in full or in part, as the case may be.</w:t>
      </w:r>
    </w:p>
    <w:p>
      <w:pPr>
        <w:spacing w:after="0" w:line="163" w:lineRule="exact"/>
        <w:rPr>
          <w:rFonts w:ascii="Times New Roman" w:cs="Times New Roman" w:eastAsia="Times New Roman" w:hAnsi="Times New Roman"/>
          <w:sz w:val="18"/>
          <w:szCs w:val="18"/>
          <w:color w:val="auto"/>
        </w:rPr>
      </w:pPr>
    </w:p>
    <w:p>
      <w:pPr>
        <w:ind w:right="500" w:firstLine="439"/>
        <w:spacing w:after="0" w:line="255" w:lineRule="auto"/>
        <w:tabs>
          <w:tab w:leader="none" w:pos="6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Awards under the Plan may be made subject to the achievement of performance goals as the Board may determine (“Performance Awards”), subject to the limit in Section 4(c)(1) on shares covered by such grants. The Committee shall certify in writing (which may be satisfied by the inclusion of such a determination in the minutes of a meeting of such Committee) that the performance goals and other material terms applicable to such Award were satisfied.</w:t>
      </w:r>
    </w:p>
    <w:p>
      <w:pPr>
        <w:spacing w:after="0" w:line="180" w:lineRule="exact"/>
        <w:rPr>
          <w:rFonts w:ascii="Times New Roman" w:cs="Times New Roman" w:eastAsia="Times New Roman" w:hAnsi="Times New Roman"/>
          <w:sz w:val="18"/>
          <w:szCs w:val="18"/>
          <w:color w:val="auto"/>
        </w:rPr>
      </w:pPr>
    </w:p>
    <w:p>
      <w:pPr>
        <w:jc w:val="both"/>
        <w:ind w:right="40" w:firstLine="439"/>
        <w:spacing w:after="0" w:line="259" w:lineRule="auto"/>
        <w:tabs>
          <w:tab w:leader="none" w:pos="6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w:t>
      </w:r>
      <w:r>
        <w:rPr>
          <w:rFonts w:ascii="Times New Roman" w:cs="Times New Roman" w:eastAsia="Times New Roman" w:hAnsi="Times New Roman"/>
          <w:sz w:val="18"/>
          <w:szCs w:val="18"/>
          <w:color w:val="auto"/>
        </w:rPr>
        <w:t>. Subject to Section 10(h), no Award shall vest earlier than the first anniversary of its date of grant, unless such Award is granted in lieu of salary, bonus or other compensation otherwise earned by or payable to the Participant. The foregoing sentence shall not apply to Awards granted, in the aggregate, for up to 5% of the maximum number of authorized shares set forth in Section 4(a).</w:t>
      </w:r>
    </w:p>
    <w:p>
      <w:pPr>
        <w:spacing w:after="0" w:line="178" w:lineRule="exact"/>
        <w:rPr>
          <w:sz w:val="20"/>
          <w:szCs w:val="20"/>
          <w:color w:val="auto"/>
        </w:rPr>
      </w:pPr>
    </w:p>
    <w:p>
      <w:pPr>
        <w:ind w:left="220" w:hanging="215"/>
        <w:spacing w:after="0"/>
        <w:tabs>
          <w:tab w:leader="none" w:pos="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17" w:lineRule="exact"/>
        <w:rPr>
          <w:rFonts w:ascii="Times New Roman" w:cs="Times New Roman" w:eastAsia="Times New Roman" w:hAnsi="Times New Roman"/>
          <w:sz w:val="18"/>
          <w:szCs w:val="18"/>
          <w:color w:val="auto"/>
        </w:rPr>
      </w:pPr>
    </w:p>
    <w:p>
      <w:pPr>
        <w:ind w:right="40" w:firstLine="439"/>
        <w:spacing w:after="0" w:line="255" w:lineRule="auto"/>
        <w:tabs>
          <w:tab w:leader="none" w:pos="67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80" w:lineRule="exact"/>
        <w:rPr>
          <w:rFonts w:ascii="Times New Roman" w:cs="Times New Roman" w:eastAsia="Times New Roman" w:hAnsi="Times New Roman"/>
          <w:sz w:val="18"/>
          <w:szCs w:val="18"/>
          <w:color w:val="auto"/>
        </w:rPr>
      </w:pPr>
    </w:p>
    <w:p>
      <w:pPr>
        <w:ind w:right="340" w:firstLine="439"/>
        <w:spacing w:after="0" w:line="259" w:lineRule="auto"/>
        <w:tabs>
          <w:tab w:leader="none" w:pos="68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Notwithstanding the foregoing, in the event the Company effects a split of the Common Stock by means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57" w:right="339" w:bottom="1440" w:gutter="0" w:footer="0" w:header="0"/>
        </w:sectPr>
      </w:pPr>
    </w:p>
    <w:bookmarkStart w:id="107" w:name="page108"/>
    <w:bookmarkEnd w:id="107"/>
    <w:p>
      <w:pPr>
        <w:ind w:right="40"/>
        <w:spacing w:after="0" w:line="255" w:lineRule="auto"/>
        <w:rPr>
          <w:sz w:val="20"/>
          <w:szCs w:val="20"/>
          <w:color w:val="auto"/>
        </w:rPr>
      </w:pPr>
      <w:r>
        <w:rPr>
          <w:rFonts w:ascii="Times New Roman" w:cs="Times New Roman" w:eastAsia="Times New Roman" w:hAnsi="Times New Roman"/>
          <w:sz w:val="18"/>
          <w:szCs w:val="18"/>
          <w:color w:val="auto"/>
        </w:rPr>
        <w:t>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54" w:lineRule="exact"/>
        <w:rPr>
          <w:sz w:val="20"/>
          <w:szCs w:val="20"/>
          <w:color w:val="auto"/>
        </w:rPr>
      </w:pPr>
    </w:p>
    <w:p>
      <w:pPr>
        <w:jc w:val="both"/>
        <w:ind w:right="100" w:firstLine="439"/>
        <w:spacing w:after="0" w:line="259" w:lineRule="auto"/>
        <w:tabs>
          <w:tab w:leader="none" w:pos="67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on the date the Plan is approved by the Company’s stockholders. No Awards shall be granted under the Plan after May 12, 2032 and no awards of Incentive Stock Options may be granted after March 16, 2032, but Awards previously granted may extend beyond that date.</w:t>
      </w:r>
    </w:p>
    <w:p>
      <w:pPr>
        <w:spacing w:after="0" w:line="177" w:lineRule="exact"/>
        <w:rPr>
          <w:rFonts w:ascii="Times New Roman" w:cs="Times New Roman" w:eastAsia="Times New Roman" w:hAnsi="Times New Roman"/>
          <w:sz w:val="18"/>
          <w:szCs w:val="18"/>
          <w:color w:val="auto"/>
        </w:rPr>
      </w:pPr>
    </w:p>
    <w:p>
      <w:pPr>
        <w:ind w:right="40" w:firstLine="439"/>
        <w:spacing w:after="0" w:line="266" w:lineRule="auto"/>
        <w:tabs>
          <w:tab w:leader="none" w:pos="683"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may amend, suspend or terminate the Plan or any portion thereof at any time provided that (i) no amendment that would require stockholder approval under the rules of the NASDAQ may be made effective unless and until such amendment shall have been approved by the Company’s stockholders; and (ii) if the NASDAQ amends its corporate governance rules so that such rules no longer require stockholder approval of material amendments to equity compensation plans, then, from and after the effective date of such amendment to the NASDAQ rules, no amendment to the Plan</w:t>
      </w:r>
    </w:p>
    <w:p>
      <w:pPr>
        <w:ind w:right="180" w:firstLine="6"/>
        <w:spacing w:after="0" w:line="246" w:lineRule="auto"/>
        <w:tabs>
          <w:tab w:leader="none" w:pos="2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increasing the number of shares authorized under the Plan (other than pursuant to Section 9), (B) expanding the types of Awards that may be granted under the Plan, (C) materially expanding the class of participants eligible to participate in the Plan, or (D) materially increasing benefits generally available to Participants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191" w:lineRule="exact"/>
        <w:rPr>
          <w:rFonts w:ascii="Times New Roman" w:cs="Times New Roman" w:eastAsia="Times New Roman" w:hAnsi="Times New Roman"/>
          <w:sz w:val="18"/>
          <w:szCs w:val="18"/>
          <w:color w:val="auto"/>
        </w:rPr>
      </w:pPr>
    </w:p>
    <w:p>
      <w:pPr>
        <w:ind w:right="20" w:firstLine="439"/>
        <w:spacing w:after="0" w:line="259" w:lineRule="auto"/>
        <w:tabs>
          <w:tab w:leader="none" w:pos="67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Board may modify Awards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77" w:lineRule="exact"/>
        <w:rPr>
          <w:rFonts w:ascii="Times New Roman" w:cs="Times New Roman" w:eastAsia="Times New Roman" w:hAnsi="Times New Roman"/>
          <w:sz w:val="18"/>
          <w:szCs w:val="18"/>
          <w:color w:val="auto"/>
        </w:rPr>
      </w:pPr>
    </w:p>
    <w:p>
      <w:pPr>
        <w:ind w:right="40" w:firstLine="439"/>
        <w:spacing w:after="0" w:line="253" w:lineRule="auto"/>
        <w:tabs>
          <w:tab w:leader="none" w:pos="65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Except as provided in individual Award agreements initially or by amendment, if and to the extent any portion of any payment, compensation or other benefit provided to a Participant in connection with his or her employment termination is determined to constitute “nonqualified deferred compensation” within the meaning of Section 409A of the Code and the Participant is a specified employee as defined in</w:t>
      </w:r>
    </w:p>
    <w:p>
      <w:pPr>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409A(a) (2)(B)(i) of the Code, as determined by the Company in accordance with its procedures, by which determination the Participant (through accepting the Award) agrees that he or she is bound, such portion of the payment, compensation or other benefit shall not be paid before the day that is six months plus one day after the date of “separation from service” (as determined under Code Section 409A) (the “New Payment Date”), except as Code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The Company shall have no liability to a Participant, or any other Party if an Award that is intended to be exempt from, or compliant with, Section 409A is not so exempt or compliant or for any action taken by the Board.</w:t>
      </w:r>
    </w:p>
    <w:p>
      <w:pPr>
        <w:spacing w:after="0" w:line="191" w:lineRule="exact"/>
        <w:rPr>
          <w:rFonts w:ascii="Times New Roman" w:cs="Times New Roman" w:eastAsia="Times New Roman" w:hAnsi="Times New Roman"/>
          <w:sz w:val="18"/>
          <w:szCs w:val="18"/>
          <w:color w:val="auto"/>
        </w:rPr>
      </w:pPr>
    </w:p>
    <w:p>
      <w:pPr>
        <w:ind w:right="60" w:firstLine="439"/>
        <w:spacing w:after="0" w:line="250" w:lineRule="auto"/>
        <w:tabs>
          <w:tab w:leader="none" w:pos="68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this Plan unless arising out of such person’s own fraud or bad faith.</w:t>
      </w:r>
    </w:p>
    <w:p>
      <w:pPr>
        <w:spacing w:after="0" w:line="186" w:lineRule="exact"/>
        <w:rPr>
          <w:rFonts w:ascii="Times New Roman" w:cs="Times New Roman" w:eastAsia="Times New Roman" w:hAnsi="Times New Roman"/>
          <w:sz w:val="18"/>
          <w:szCs w:val="18"/>
          <w:color w:val="auto"/>
        </w:rPr>
      </w:pPr>
    </w:p>
    <w:p>
      <w:pPr>
        <w:ind w:firstLine="439"/>
        <w:spacing w:after="0" w:line="251" w:lineRule="auto"/>
        <w:tabs>
          <w:tab w:leader="none" w:pos="68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w:t>
      </w:r>
      <w:r>
        <w:rPr>
          <w:rFonts w:ascii="Times New Roman" w:cs="Times New Roman" w:eastAsia="Times New Roman" w:hAnsi="Times New Roman"/>
          <w:sz w:val="18"/>
          <w:szCs w:val="18"/>
          <w:color w:val="auto"/>
        </w:rPr>
        <w:t>. The Board may from time to time establish one or more sub-plans under the Plan for purposes of satisfying applicable securities or tax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69" w:right="339" w:bottom="1440" w:gutter="0" w:footer="0" w:header="0"/>
        </w:sectPr>
      </w:pPr>
    </w:p>
    <w:bookmarkStart w:id="108" w:name="page109"/>
    <w:bookmarkEnd w:id="108"/>
    <w:p>
      <w:pPr>
        <w:jc w:val="both"/>
        <w:ind w:left="-180" w:firstLine="439"/>
        <w:spacing w:after="0" w:line="259" w:lineRule="auto"/>
        <w:tabs>
          <w:tab w:leader="none" w:pos="4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969" w:right="5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AKAMAI TECHNOLOGIES, INC.</w:t>
      </w:r>
    </w:p>
    <w:p>
      <w:pPr>
        <w:spacing w:after="0" w:line="36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9"/>
          <w:szCs w:val="19"/>
          <w:b w:val="1"/>
          <w:bCs w:val="1"/>
          <w:color w:val="auto"/>
        </w:rPr>
        <w:t>STATEMENT OF COMPANY POLICY</w:t>
      </w:r>
    </w:p>
    <w:p>
      <w:pPr>
        <w:spacing w:after="0" w:line="7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9"/>
          <w:szCs w:val="19"/>
          <w:b w:val="1"/>
          <w:bCs w:val="1"/>
          <w:color w:val="auto"/>
        </w:rPr>
        <w:t>Securities Transactions by Akamai Personnel</w:t>
      </w:r>
    </w:p>
    <w:p>
      <w:pPr>
        <w:spacing w:after="0" w:line="351" w:lineRule="exact"/>
        <w:rPr>
          <w:sz w:val="20"/>
          <w:szCs w:val="20"/>
          <w:color w:val="auto"/>
        </w:rPr>
      </w:pPr>
    </w:p>
    <w:p>
      <w:pPr>
        <w:ind w:left="620" w:hanging="620"/>
        <w:spacing w:after="0"/>
        <w:tabs>
          <w:tab w:leader="none" w:pos="620"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Introduction</w:t>
      </w:r>
    </w:p>
    <w:p>
      <w:pPr>
        <w:spacing w:after="0" w:line="395" w:lineRule="exact"/>
        <w:rPr>
          <w:sz w:val="20"/>
          <w:szCs w:val="20"/>
          <w:color w:val="auto"/>
        </w:rPr>
      </w:pPr>
    </w:p>
    <w:p>
      <w:pPr>
        <w:ind w:right="800" w:firstLine="636"/>
        <w:spacing w:after="0" w:line="331" w:lineRule="auto"/>
        <w:rPr>
          <w:sz w:val="20"/>
          <w:szCs w:val="20"/>
          <w:color w:val="auto"/>
        </w:rPr>
      </w:pPr>
      <w:r>
        <w:rPr>
          <w:rFonts w:ascii="Times New Roman" w:cs="Times New Roman" w:eastAsia="Times New Roman" w:hAnsi="Times New Roman"/>
          <w:sz w:val="19"/>
          <w:szCs w:val="19"/>
          <w:color w:val="auto"/>
        </w:rPr>
        <w:t>AKAMAI TECHNOLOGIES, INC. (“Akamai” or the “Company”) has adopted the following policies and procedures on securities transactions by Akamai personnel (the “Policy”). This Policy applies to all directors, employees and consultants of Akamai and their related persons (collectively, “Akamai Personnel”) and have been developed to help:</w:t>
      </w:r>
    </w:p>
    <w:p>
      <w:pPr>
        <w:spacing w:after="0" w:line="209" w:lineRule="exact"/>
        <w:rPr>
          <w:sz w:val="20"/>
          <w:szCs w:val="20"/>
          <w:color w:val="auto"/>
        </w:rPr>
      </w:pPr>
    </w:p>
    <w:p>
      <w:pPr>
        <w:ind w:left="1260" w:hanging="623"/>
        <w:spacing w:after="0"/>
        <w:tabs>
          <w:tab w:leader="none" w:pos="1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Educate all Akamai Personnel;</w:t>
      </w:r>
    </w:p>
    <w:p>
      <w:pPr>
        <w:spacing w:after="0" w:line="73" w:lineRule="exact"/>
        <w:rPr>
          <w:rFonts w:ascii="Times New Roman" w:cs="Times New Roman" w:eastAsia="Times New Roman" w:hAnsi="Times New Roman"/>
          <w:sz w:val="19"/>
          <w:szCs w:val="19"/>
          <w:color w:val="auto"/>
        </w:rPr>
      </w:pPr>
    </w:p>
    <w:p>
      <w:pPr>
        <w:ind w:left="1260" w:hanging="623"/>
        <w:spacing w:after="0"/>
        <w:tabs>
          <w:tab w:leader="none" w:pos="1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 forth guidelines for courses of action;</w:t>
      </w:r>
    </w:p>
    <w:p>
      <w:pPr>
        <w:spacing w:after="0" w:line="73" w:lineRule="exact"/>
        <w:rPr>
          <w:rFonts w:ascii="Times New Roman" w:cs="Times New Roman" w:eastAsia="Times New Roman" w:hAnsi="Times New Roman"/>
          <w:sz w:val="19"/>
          <w:szCs w:val="19"/>
          <w:color w:val="auto"/>
        </w:rPr>
      </w:pPr>
    </w:p>
    <w:p>
      <w:pPr>
        <w:ind w:left="1260" w:hanging="623"/>
        <w:spacing w:after="0"/>
        <w:tabs>
          <w:tab w:leader="none" w:pos="1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Protect Akamai and Akamai Personnel against legal liability;</w:t>
      </w:r>
    </w:p>
    <w:p>
      <w:pPr>
        <w:spacing w:after="0" w:line="73" w:lineRule="exact"/>
        <w:rPr>
          <w:rFonts w:ascii="Times New Roman" w:cs="Times New Roman" w:eastAsia="Times New Roman" w:hAnsi="Times New Roman"/>
          <w:sz w:val="19"/>
          <w:szCs w:val="19"/>
          <w:color w:val="auto"/>
        </w:rPr>
      </w:pPr>
    </w:p>
    <w:p>
      <w:pPr>
        <w:ind w:left="1260" w:hanging="623"/>
        <w:spacing w:after="0"/>
        <w:tabs>
          <w:tab w:leader="none" w:pos="1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Promote compliance with state and federal securities laws and regulations; and</w:t>
      </w:r>
    </w:p>
    <w:p>
      <w:pPr>
        <w:spacing w:after="0" w:line="59" w:lineRule="exact"/>
        <w:rPr>
          <w:rFonts w:ascii="Times New Roman" w:cs="Times New Roman" w:eastAsia="Times New Roman" w:hAnsi="Times New Roman"/>
          <w:sz w:val="19"/>
          <w:szCs w:val="19"/>
          <w:color w:val="auto"/>
        </w:rPr>
      </w:pPr>
    </w:p>
    <w:p>
      <w:pPr>
        <w:ind w:left="1260" w:hanging="623"/>
        <w:spacing w:after="0"/>
        <w:tabs>
          <w:tab w:leader="none" w:pos="1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Preserve the reputation of Akamai and Akamai Personnel for integrity and ethical conduct.</w:t>
      </w:r>
    </w:p>
    <w:p>
      <w:pPr>
        <w:spacing w:after="0" w:line="338" w:lineRule="exact"/>
        <w:rPr>
          <w:sz w:val="20"/>
          <w:szCs w:val="20"/>
          <w:color w:val="auto"/>
        </w:rPr>
      </w:pPr>
    </w:p>
    <w:p>
      <w:pPr>
        <w:ind w:right="1080" w:firstLine="636"/>
        <w:spacing w:after="0" w:line="331" w:lineRule="auto"/>
        <w:rPr>
          <w:sz w:val="20"/>
          <w:szCs w:val="20"/>
          <w:color w:val="auto"/>
        </w:rPr>
      </w:pPr>
      <w:r>
        <w:rPr>
          <w:rFonts w:ascii="Times New Roman" w:cs="Times New Roman" w:eastAsia="Times New Roman" w:hAnsi="Times New Roman"/>
          <w:sz w:val="19"/>
          <w:szCs w:val="19"/>
          <w:color w:val="auto"/>
        </w:rPr>
        <w:t>At the end of this Policy, you will find a brief overview of applicable federal rules and regulations relating to insider trading. If you have any questions about your situation, applicable laws or policy requirements, please contact a Policy Administrator (as defined below).</w:t>
      </w:r>
    </w:p>
    <w:p>
      <w:pPr>
        <w:spacing w:after="0" w:line="205" w:lineRule="exact"/>
        <w:rPr>
          <w:sz w:val="20"/>
          <w:szCs w:val="20"/>
          <w:color w:val="auto"/>
        </w:rPr>
      </w:pPr>
    </w:p>
    <w:p>
      <w:pPr>
        <w:ind w:left="620" w:hanging="619"/>
        <w:spacing w:after="0"/>
        <w:tabs>
          <w:tab w:leader="none" w:pos="620"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Prohibition on Transactions in Akamai Securities</w:t>
      </w:r>
    </w:p>
    <w:p>
      <w:pPr>
        <w:spacing w:after="0" w:line="391" w:lineRule="exact"/>
        <w:rPr>
          <w:rFonts w:ascii="Times New Roman" w:cs="Times New Roman" w:eastAsia="Times New Roman" w:hAnsi="Times New Roman"/>
          <w:sz w:val="19"/>
          <w:szCs w:val="19"/>
          <w:b w:val="1"/>
          <w:bCs w:val="1"/>
          <w:color w:val="auto"/>
        </w:rPr>
      </w:pPr>
    </w:p>
    <w:p>
      <w:pPr>
        <w:ind w:left="1400" w:hanging="763"/>
        <w:spacing w:after="0"/>
        <w:tabs>
          <w:tab w:leader="none" w:pos="140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Transacting When Aware of Material Non-Public Information About Akamai. </w:t>
      </w:r>
      <w:r>
        <w:rPr>
          <w:rFonts w:ascii="Times New Roman" w:cs="Times New Roman" w:eastAsia="Times New Roman" w:hAnsi="Times New Roman"/>
          <w:sz w:val="19"/>
          <w:szCs w:val="19"/>
          <w:color w:val="auto"/>
        </w:rPr>
        <w:t>If any Akamai Personnel is</w:t>
      </w:r>
    </w:p>
    <w:p>
      <w:pPr>
        <w:spacing w:after="0" w:line="77" w:lineRule="exact"/>
        <w:rPr>
          <w:rFonts w:ascii="Times New Roman" w:cs="Times New Roman" w:eastAsia="Times New Roman" w:hAnsi="Times New Roman"/>
          <w:sz w:val="19"/>
          <w:szCs w:val="19"/>
          <w:color w:val="auto"/>
        </w:rPr>
      </w:pPr>
    </w:p>
    <w:p>
      <w:pPr>
        <w:ind w:right="1100"/>
        <w:spacing w:after="0" w:line="30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aware of “material non-public information” relating to Akamai, it is Akamai’s policy that neither that person nor any related person may buy, sell, gift or donate securities of Akamai or engage in any other action to take advantage of, or pass on to others, such material non-public information. It is important to note that this Policy applies whenever you are “aware” of material non- public information; it does not matter whether the information itself influenced your decision to transact in</w:t>
      </w:r>
    </w:p>
    <w:p>
      <w:pPr>
        <w:spacing w:after="0" w:line="1" w:lineRule="exact"/>
        <w:rPr>
          <w:rFonts w:ascii="Times New Roman" w:cs="Times New Roman" w:eastAsia="Times New Roman" w:hAnsi="Times New Roman"/>
          <w:sz w:val="19"/>
          <w:szCs w:val="19"/>
          <w:color w:val="auto"/>
        </w:rPr>
      </w:pPr>
    </w:p>
    <w:p>
      <w:pPr>
        <w:ind w:right="1000"/>
        <w:spacing w:after="0" w:line="34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Akamai securities. Transactions that may be necessary or justifiable for independent reasons (such as the need to raise money for an emergency expenditure) are no exception. </w:t>
      </w:r>
      <w:r>
        <w:rPr>
          <w:rFonts w:ascii="Times New Roman" w:cs="Times New Roman" w:eastAsia="Times New Roman" w:hAnsi="Times New Roman"/>
          <w:sz w:val="19"/>
          <w:szCs w:val="19"/>
          <w:b w:val="1"/>
          <w:bCs w:val="1"/>
          <w:i w:val="1"/>
          <w:iCs w:val="1"/>
          <w:color w:val="auto"/>
        </w:rPr>
        <w:t>Please review the Policy Guidance section below for additional guidance.</w:t>
      </w:r>
    </w:p>
    <w:p>
      <w:pPr>
        <w:spacing w:after="0" w:line="219" w:lineRule="exact"/>
        <w:rPr>
          <w:rFonts w:ascii="Times New Roman" w:cs="Times New Roman" w:eastAsia="Times New Roman" w:hAnsi="Times New Roman"/>
          <w:sz w:val="19"/>
          <w:szCs w:val="19"/>
          <w:color w:val="auto"/>
        </w:rPr>
      </w:pPr>
    </w:p>
    <w:p>
      <w:pPr>
        <w:jc w:val="both"/>
        <w:ind w:right="1140" w:firstLine="637"/>
        <w:spacing w:after="0" w:line="334" w:lineRule="auto"/>
        <w:tabs>
          <w:tab w:leader="none" w:pos="141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Restrictions on Speculative Transactions. </w:t>
      </w:r>
      <w:r>
        <w:rPr>
          <w:rFonts w:ascii="Times New Roman" w:cs="Times New Roman" w:eastAsia="Times New Roman" w:hAnsi="Times New Roman"/>
          <w:sz w:val="19"/>
          <w:szCs w:val="19"/>
          <w:color w:val="auto"/>
        </w:rPr>
        <w:t>Because we believe it is generally improper and inappropriate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Akamai Personnel to engage in short-term or speculative transactions involving Akamai’s securities, it is our policy that Akamai Personnel may not engage in any of the following activities with respect to Akamai’s securities:</w:t>
      </w:r>
    </w:p>
    <w:p>
      <w:pPr>
        <w:sectPr>
          <w:pgSz w:w="11900" w:h="16838" w:orient="portrait"/>
          <w:cols w:equalWidth="0" w:num="1">
            <w:col w:w="10740"/>
          </w:cols>
          <w:pgMar w:left="820" w:top="114" w:right="339" w:bottom="1440" w:gutter="0" w:footer="0" w:header="0"/>
        </w:sectPr>
      </w:pPr>
    </w:p>
    <w:bookmarkStart w:id="110" w:name="page111"/>
    <w:bookmarkEnd w:id="110"/>
    <w:p>
      <w:pPr>
        <w:spacing w:after="0" w:line="148" w:lineRule="exact"/>
        <w:rPr>
          <w:sz w:val="20"/>
          <w:szCs w:val="20"/>
          <w:color w:val="auto"/>
        </w:rPr>
      </w:pPr>
    </w:p>
    <w:p>
      <w:pPr>
        <w:ind w:left="720" w:hanging="299"/>
        <w:spacing w:after="0"/>
        <w:tabs>
          <w:tab w:leader="none" w:pos="72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Use of Akamai’s securities to secure a margin loan.</w:t>
      </w:r>
    </w:p>
    <w:p>
      <w:pPr>
        <w:spacing w:after="0" w:line="217" w:lineRule="exact"/>
        <w:rPr>
          <w:rFonts w:ascii="Arial" w:cs="Arial" w:eastAsia="Arial" w:hAnsi="Arial"/>
          <w:sz w:val="19"/>
          <w:szCs w:val="19"/>
          <w:color w:val="auto"/>
        </w:rPr>
      </w:pPr>
    </w:p>
    <w:p>
      <w:pPr>
        <w:ind w:left="720" w:hanging="298"/>
        <w:spacing w:after="0"/>
        <w:tabs>
          <w:tab w:leader="none" w:pos="72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Short sales of Akamai’s securities.</w:t>
      </w:r>
    </w:p>
    <w:p>
      <w:pPr>
        <w:spacing w:after="0" w:line="217" w:lineRule="exact"/>
        <w:rPr>
          <w:rFonts w:ascii="Arial" w:cs="Arial" w:eastAsia="Arial" w:hAnsi="Arial"/>
          <w:sz w:val="19"/>
          <w:szCs w:val="19"/>
          <w:color w:val="auto"/>
        </w:rPr>
      </w:pPr>
    </w:p>
    <w:p>
      <w:pPr>
        <w:ind w:left="700" w:hanging="280"/>
        <w:spacing w:after="0"/>
        <w:tabs>
          <w:tab w:leader="none" w:pos="70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Buying or selling puts or calls on Akamai’s securities.</w:t>
      </w:r>
    </w:p>
    <w:p>
      <w:pPr>
        <w:spacing w:after="0" w:line="244" w:lineRule="exact"/>
        <w:rPr>
          <w:rFonts w:ascii="Arial" w:cs="Arial" w:eastAsia="Arial" w:hAnsi="Arial"/>
          <w:sz w:val="19"/>
          <w:szCs w:val="19"/>
          <w:color w:val="auto"/>
        </w:rPr>
      </w:pPr>
    </w:p>
    <w:p>
      <w:pPr>
        <w:ind w:left="700" w:hanging="280"/>
        <w:spacing w:after="0"/>
        <w:tabs>
          <w:tab w:leader="none" w:pos="70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Transactions in publicly-traded options relating to Akamai’s securities (i.e., options that are not granted by Akamai).</w:t>
      </w:r>
    </w:p>
    <w:p>
      <w:pPr>
        <w:spacing w:after="0" w:line="270" w:lineRule="exact"/>
        <w:rPr>
          <w:rFonts w:ascii="Arial" w:cs="Arial" w:eastAsia="Arial" w:hAnsi="Arial"/>
          <w:sz w:val="19"/>
          <w:szCs w:val="19"/>
          <w:color w:val="auto"/>
        </w:rPr>
      </w:pPr>
    </w:p>
    <w:p>
      <w:pPr>
        <w:ind w:left="740" w:right="460" w:hanging="318"/>
        <w:spacing w:after="0" w:line="371" w:lineRule="auto"/>
        <w:tabs>
          <w:tab w:leader="none" w:pos="711"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Other transactions involving financial instruments (including prepaid variable forward contracts, equity swaps, collars and exchange funds) that are designed to hedge or offset any decrease in the market value of Akamai’s securities.</w:t>
      </w:r>
    </w:p>
    <w:p>
      <w:pPr>
        <w:spacing w:after="0" w:line="211" w:lineRule="exact"/>
        <w:rPr>
          <w:sz w:val="20"/>
          <w:szCs w:val="20"/>
          <w:color w:val="auto"/>
        </w:rPr>
      </w:pPr>
    </w:p>
    <w:p>
      <w:pPr>
        <w:ind w:left="420" w:right="100"/>
        <w:spacing w:after="0" w:line="324" w:lineRule="auto"/>
        <w:rPr>
          <w:sz w:val="20"/>
          <w:szCs w:val="20"/>
          <w:color w:val="auto"/>
        </w:rPr>
      </w:pPr>
      <w:r>
        <w:rPr>
          <w:rFonts w:ascii="Times New Roman" w:cs="Times New Roman" w:eastAsia="Times New Roman" w:hAnsi="Times New Roman"/>
          <w:sz w:val="19"/>
          <w:szCs w:val="19"/>
          <w:color w:val="auto"/>
        </w:rPr>
        <w:t>In addition, Akamai’s Executive Officers (as designated by the Company’s Board of Directors and identified from time to time in Akamai’s filings with the U.S. Securities and Exchange Commission (the “SEC”)) and members of the Board of Directors may not pledge Akamai securities as collateral for a loan.</w:t>
      </w:r>
    </w:p>
    <w:p>
      <w:pPr>
        <w:spacing w:after="0" w:line="255" w:lineRule="exact"/>
        <w:rPr>
          <w:sz w:val="20"/>
          <w:szCs w:val="20"/>
          <w:color w:val="auto"/>
        </w:rPr>
      </w:pPr>
    </w:p>
    <w:p>
      <w:pPr>
        <w:ind w:left="420" w:right="300"/>
        <w:spacing w:after="0" w:line="324" w:lineRule="auto"/>
        <w:rPr>
          <w:sz w:val="20"/>
          <w:szCs w:val="20"/>
          <w:color w:val="auto"/>
        </w:rPr>
      </w:pPr>
      <w:r>
        <w:rPr>
          <w:rFonts w:ascii="Times New Roman" w:cs="Times New Roman" w:eastAsia="Times New Roman" w:hAnsi="Times New Roman"/>
          <w:sz w:val="19"/>
          <w:szCs w:val="19"/>
          <w:color w:val="auto"/>
        </w:rPr>
        <w:t>Trading in Akamai’s securities on a short-term basis is discouraged and is often impermissible under SEC regulations. We encourage you to hold any shares of Akamai common stock purchased in the open market for a minimum of six months and ideally longer.</w:t>
      </w:r>
    </w:p>
    <w:p>
      <w:pPr>
        <w:spacing w:after="0" w:line="251" w:lineRule="exact"/>
        <w:rPr>
          <w:sz w:val="20"/>
          <w:szCs w:val="20"/>
          <w:color w:val="auto"/>
        </w:rPr>
      </w:pPr>
    </w:p>
    <w:p>
      <w:pPr>
        <w:jc w:val="both"/>
        <w:ind w:left="420" w:right="120" w:firstLine="636"/>
        <w:spacing w:after="0" w:line="311" w:lineRule="auto"/>
        <w:tabs>
          <w:tab w:leader="none" w:pos="1822"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Transacting When Aware of Material Non-Public Information About Other Companies. </w:t>
      </w:r>
      <w:r>
        <w:rPr>
          <w:rFonts w:ascii="Times New Roman" w:cs="Times New Roman" w:eastAsia="Times New Roman" w:hAnsi="Times New Roman"/>
          <w:sz w:val="19"/>
          <w:szCs w:val="19"/>
          <w:color w:val="auto"/>
        </w:rPr>
        <w:t>This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Policy’s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prohibitions against </w:t>
      </w:r>
      <w:r>
        <w:rPr>
          <w:rFonts w:ascii="Times New Roman" w:cs="Times New Roman" w:eastAsia="Times New Roman" w:hAnsi="Times New Roman"/>
          <w:sz w:val="18"/>
          <w:szCs w:val="18"/>
          <w:color w:val="auto"/>
        </w:rPr>
        <w:t>transacting</w:t>
      </w:r>
      <w:r>
        <w:rPr>
          <w:rFonts w:ascii="Times New Roman" w:cs="Times New Roman" w:eastAsia="Times New Roman" w:hAnsi="Times New Roman"/>
          <w:sz w:val="19"/>
          <w:szCs w:val="19"/>
          <w:color w:val="auto"/>
        </w:rPr>
        <w:t xml:space="preserve"> in securities or engaging in any other action to take advantage of, or </w:t>
      </w:r>
      <w:r>
        <w:rPr>
          <w:rFonts w:ascii="Times New Roman" w:cs="Times New Roman" w:eastAsia="Times New Roman" w:hAnsi="Times New Roman"/>
          <w:sz w:val="18"/>
          <w:szCs w:val="18"/>
          <w:color w:val="auto"/>
        </w:rPr>
        <w:t>passing</w:t>
      </w:r>
      <w:r>
        <w:rPr>
          <w:rFonts w:ascii="Times New Roman" w:cs="Times New Roman" w:eastAsia="Times New Roman" w:hAnsi="Times New Roman"/>
          <w:sz w:val="19"/>
          <w:szCs w:val="19"/>
          <w:color w:val="auto"/>
        </w:rPr>
        <w:t xml:space="preserve"> on to others, material non-public information also applies to </w:t>
      </w:r>
      <w:r>
        <w:rPr>
          <w:rFonts w:ascii="Times New Roman" w:cs="Times New Roman" w:eastAsia="Times New Roman" w:hAnsi="Times New Roman"/>
          <w:sz w:val="18"/>
          <w:szCs w:val="18"/>
          <w:color w:val="auto"/>
        </w:rPr>
        <w:t>transacting</w:t>
      </w:r>
      <w:r>
        <w:rPr>
          <w:rFonts w:ascii="Times New Roman" w:cs="Times New Roman" w:eastAsia="Times New Roman" w:hAnsi="Times New Roman"/>
          <w:sz w:val="19"/>
          <w:szCs w:val="19"/>
          <w:color w:val="auto"/>
        </w:rPr>
        <w:t xml:space="preserve"> in securities of other companies with which Akamai has an existing</w:t>
      </w:r>
    </w:p>
    <w:p>
      <w:pPr>
        <w:spacing w:after="0" w:line="2" w:lineRule="exact"/>
        <w:rPr>
          <w:rFonts w:ascii="Times New Roman" w:cs="Times New Roman" w:eastAsia="Times New Roman" w:hAnsi="Times New Roman"/>
          <w:sz w:val="19"/>
          <w:szCs w:val="19"/>
          <w:color w:val="auto"/>
        </w:rPr>
      </w:pPr>
    </w:p>
    <w:p>
      <w:pPr>
        <w:ind w:left="420"/>
        <w:spacing w:after="0" w:line="31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relationship, including our customers or suppliers or with which Akamai is in active discussions concerning a potential transaction or business relationship. Whenever an Akamai Personnel is aware of material non-public information relating to such company which he or she learned in the course of his or her service to or employment by Akamai, neither that person nor any related person may buy</w:t>
      </w: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 xml:space="preserve"> sell, gift or donate any securities of such company or engage in any other action to take advantage of, or pass on to others, such material non-public information.</w:t>
      </w:r>
    </w:p>
    <w:p>
      <w:pPr>
        <w:spacing w:after="0" w:line="249" w:lineRule="exact"/>
        <w:rPr>
          <w:sz w:val="20"/>
          <w:szCs w:val="20"/>
          <w:color w:val="auto"/>
        </w:rPr>
      </w:pPr>
    </w:p>
    <w:p>
      <w:pPr>
        <w:ind w:left="420" w:right="20" w:firstLine="618"/>
        <w:spacing w:after="0" w:line="318" w:lineRule="auto"/>
        <w:rPr>
          <w:sz w:val="20"/>
          <w:szCs w:val="20"/>
          <w:color w:val="auto"/>
        </w:rPr>
      </w:pPr>
      <w:r>
        <w:rPr>
          <w:rFonts w:ascii="Times New Roman" w:cs="Times New Roman" w:eastAsia="Times New Roman" w:hAnsi="Times New Roman"/>
          <w:sz w:val="19"/>
          <w:szCs w:val="19"/>
          <w:color w:val="auto"/>
        </w:rPr>
        <w:t>Additionally, if an Akamai Personnel believes he or she may be in possession of nonpublic information about Akamai that could potentially have a material effect on the stock price of a company with which Akamai does not have an existing business relationship or with which Akamai is not discussing a potential transaction or business relationship, Akamai Personnel should exercise caution when trading in the securities of that company because the SEC has successfully brought an insider trading claim against an insider in those circumstances.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360"/>
          </w:cols>
          <w:pgMar w:left="400" w:top="1440" w:right="1139" w:bottom="1440" w:gutter="0" w:footer="0" w:header="0"/>
        </w:sectPr>
      </w:pPr>
    </w:p>
    <w:bookmarkStart w:id="111" w:name="page112"/>
    <w:bookmarkEnd w:id="111"/>
    <w:p>
      <w:pPr>
        <w:ind w:left="1060" w:hanging="639"/>
        <w:spacing w:after="0"/>
        <w:tabs>
          <w:tab w:leader="none" w:pos="1060"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Policy Procedures</w:t>
      </w:r>
    </w:p>
    <w:p>
      <w:pPr>
        <w:spacing w:after="0" w:line="311" w:lineRule="exact"/>
        <w:rPr>
          <w:rFonts w:ascii="Times New Roman" w:cs="Times New Roman" w:eastAsia="Times New Roman" w:hAnsi="Times New Roman"/>
          <w:sz w:val="19"/>
          <w:szCs w:val="19"/>
          <w:b w:val="1"/>
          <w:bCs w:val="1"/>
          <w:color w:val="auto"/>
        </w:rPr>
      </w:pPr>
    </w:p>
    <w:p>
      <w:pPr>
        <w:ind w:left="10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i w:val="1"/>
          <w:iCs w:val="1"/>
          <w:color w:val="auto"/>
        </w:rPr>
        <w:t>Company-Wide Trading Blackouts.</w:t>
      </w:r>
    </w:p>
    <w:p>
      <w:pPr>
        <w:spacing w:after="0" w:line="329" w:lineRule="exact"/>
        <w:rPr>
          <w:sz w:val="20"/>
          <w:szCs w:val="20"/>
          <w:color w:val="auto"/>
        </w:rPr>
      </w:pPr>
    </w:p>
    <w:p>
      <w:pPr>
        <w:ind w:left="420" w:firstLine="636"/>
        <w:spacing w:after="0" w:line="322" w:lineRule="auto"/>
        <w:rPr>
          <w:sz w:val="20"/>
          <w:szCs w:val="20"/>
          <w:color w:val="auto"/>
        </w:rPr>
      </w:pPr>
      <w:r>
        <w:rPr>
          <w:rFonts w:ascii="Times New Roman" w:cs="Times New Roman" w:eastAsia="Times New Roman" w:hAnsi="Times New Roman"/>
          <w:sz w:val="19"/>
          <w:szCs w:val="19"/>
          <w:color w:val="auto"/>
        </w:rPr>
        <w:t xml:space="preserve">From time to time, in connection with an announcement of material information about Akamai or when significant developments or announcements are anticipated, there may be imposed a temporary prohibition on </w:t>
      </w:r>
      <w:r>
        <w:rPr>
          <w:rFonts w:ascii="Times New Roman" w:cs="Times New Roman" w:eastAsia="Times New Roman" w:hAnsi="Times New Roman"/>
          <w:sz w:val="18"/>
          <w:szCs w:val="18"/>
          <w:color w:val="auto"/>
        </w:rPr>
        <w:t>transacting</w:t>
      </w:r>
      <w:r>
        <w:rPr>
          <w:rFonts w:ascii="Times New Roman" w:cs="Times New Roman" w:eastAsia="Times New Roman" w:hAnsi="Times New Roman"/>
          <w:sz w:val="19"/>
          <w:szCs w:val="19"/>
          <w:color w:val="auto"/>
        </w:rPr>
        <w:t xml:space="preserve"> in Akamai securities that is applicable to all </w:t>
      </w:r>
      <w:r>
        <w:rPr>
          <w:rFonts w:ascii="Times New Roman" w:cs="Times New Roman" w:eastAsia="Times New Roman" w:hAnsi="Times New Roman"/>
          <w:sz w:val="18"/>
          <w:szCs w:val="18"/>
          <w:color w:val="auto"/>
        </w:rPr>
        <w:t>Akamai Personnel</w:t>
      </w:r>
      <w:r>
        <w:rPr>
          <w:rFonts w:ascii="Times New Roman" w:cs="Times New Roman" w:eastAsia="Times New Roman" w:hAnsi="Times New Roman"/>
          <w:sz w:val="19"/>
          <w:szCs w:val="19"/>
          <w:color w:val="auto"/>
        </w:rPr>
        <w:t>. In such event, you will be notified by e-mail of the imposition and expected duration of the trading prohibition. During that period, except as provided below, no person to whom this Policy applies may buy, sell, gift or donate Akamai securities.</w:t>
      </w:r>
    </w:p>
    <w:p>
      <w:pPr>
        <w:spacing w:after="0" w:line="191" w:lineRule="exact"/>
        <w:rPr>
          <w:sz w:val="20"/>
          <w:szCs w:val="20"/>
          <w:color w:val="auto"/>
        </w:rPr>
      </w:pPr>
    </w:p>
    <w:p>
      <w:pPr>
        <w:ind w:left="420" w:right="40" w:firstLine="636"/>
        <w:spacing w:after="0" w:line="312" w:lineRule="auto"/>
        <w:rPr>
          <w:sz w:val="20"/>
          <w:szCs w:val="20"/>
          <w:color w:val="auto"/>
        </w:rPr>
      </w:pPr>
      <w:r>
        <w:rPr>
          <w:rFonts w:ascii="Times New Roman" w:cs="Times New Roman" w:eastAsia="Times New Roman" w:hAnsi="Times New Roman"/>
          <w:sz w:val="19"/>
          <w:szCs w:val="19"/>
          <w:color w:val="auto"/>
        </w:rPr>
        <w:t>During a company-wide trading blackout or when Akamai Personnel are aware of material non- public information, purchases on behalf of such Akamai Personnel may be made under both the Employee Stock Purchase Plan pursuant to standing instructions and the 401(k) Plan resulting from matching company contributions based on his or her periodic contribution of money pursuant to his or her prior payroll deduction election, stock options may be exercised for cash and the exercise or purchase price of any equity award under an Akamai equity plan and any tax obligation in connection with such an equity award may be paid or satisfied by the surrender of shares to Akamai, or the retention by Akamai of shares otherwise issuable under such equity award, in each case in a manner permitted by the applicable equity award agreement or plan. However, neither “cashless” option exercises, nor sales of stock acquired under the Employee Stock Purchase Plan or 401(k) Plan or through stock option exercises, are permitted during trading blackouts or when Akamai Personnel are aware of material non- public information. In addition, an election to participate or increase or decrease an Akamai Personnel’s periodic contributions to the Employee Stock Purchase Plan or to the 401(k) Plan (that will result in the receipt of Company stock through the 401(k) Plan match terms) are not permitted during trading blackouts or when Akamai Personnel are aware of material non-public information. In addition, when a trading blackout goes into effect, all Akamai Personnel who are subject to such trading blackout are required to cancel previously established limit orders or similar arrangements that could lead to trading during the blackout.</w:t>
      </w:r>
    </w:p>
    <w:p>
      <w:pPr>
        <w:spacing w:after="0" w:line="200" w:lineRule="exact"/>
        <w:rPr>
          <w:sz w:val="20"/>
          <w:szCs w:val="20"/>
          <w:color w:val="auto"/>
        </w:rPr>
      </w:pPr>
    </w:p>
    <w:p>
      <w:pPr>
        <w:spacing w:after="0" w:line="311" w:lineRule="exact"/>
        <w:rPr>
          <w:sz w:val="20"/>
          <w:szCs w:val="20"/>
          <w:color w:val="auto"/>
        </w:rPr>
      </w:pPr>
    </w:p>
    <w:p>
      <w:pPr>
        <w:ind w:left="1680" w:hanging="623"/>
        <w:spacing w:after="0"/>
        <w:tabs>
          <w:tab w:leader="none" w:pos="16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Special Procedures for Senior Management</w:t>
      </w:r>
    </w:p>
    <w:p>
      <w:pPr>
        <w:spacing w:after="0" w:line="395" w:lineRule="exact"/>
        <w:rPr>
          <w:sz w:val="20"/>
          <w:szCs w:val="20"/>
          <w:color w:val="auto"/>
        </w:rPr>
      </w:pPr>
    </w:p>
    <w:p>
      <w:pPr>
        <w:ind w:left="420" w:right="100" w:firstLine="636"/>
        <w:spacing w:after="0" w:line="315" w:lineRule="auto"/>
        <w:rPr>
          <w:sz w:val="20"/>
          <w:szCs w:val="20"/>
          <w:color w:val="auto"/>
        </w:rPr>
      </w:pPr>
      <w:r>
        <w:rPr>
          <w:rFonts w:ascii="Times New Roman" w:cs="Times New Roman" w:eastAsia="Times New Roman" w:hAnsi="Times New Roman"/>
          <w:sz w:val="19"/>
          <w:szCs w:val="19"/>
          <w:color w:val="auto"/>
        </w:rPr>
        <w:t>The following persons constitute the “Senior Management” of Akamai: members of the Board of Directors; Executive Officers (as designated by the Company’s Board of Directors and identified from time to time in Akamai’s SEC filings); members of Akamai’s Operating Committee (or similar group created as a successor thereto) and their respective assistants; individuals with a title of Senior Vice President, Vice President or Director in Akamai’s Finance organization; individuals with a title of Controller or Assistant Controller; individuals in Akamai’s Investor Relations organization; individuals with a title of Senior Vice President, Vice President or Director in Akamai’s Corporate Development organization; Akamai’s in-house legal counsel who report directly to the General Counsel; and others as may be identified from time to time (typically through an e-mail from a member of the Legal Department</w:t>
      </w:r>
    </w:p>
    <w:p>
      <w:pPr>
        <w:spacing w:after="0" w:line="3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3</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360"/>
          </w:cols>
          <w:pgMar w:left="400" w:top="1385" w:right="1139" w:bottom="1440" w:gutter="0" w:footer="0" w:header="0"/>
        </w:sectPr>
      </w:pPr>
    </w:p>
    <w:bookmarkStart w:id="112" w:name="page113"/>
    <w:bookmarkEnd w:id="112"/>
    <w:p>
      <w:pPr>
        <w:ind w:left="420" w:right="20"/>
        <w:spacing w:after="0" w:line="343" w:lineRule="auto"/>
        <w:rPr>
          <w:sz w:val="20"/>
          <w:szCs w:val="20"/>
          <w:color w:val="auto"/>
        </w:rPr>
      </w:pPr>
      <w:r>
        <w:rPr>
          <w:rFonts w:ascii="Times New Roman" w:cs="Times New Roman" w:eastAsia="Times New Roman" w:hAnsi="Times New Roman"/>
          <w:sz w:val="19"/>
          <w:szCs w:val="19"/>
          <w:color w:val="auto"/>
        </w:rPr>
        <w:t>notifying them of the applicability of the quarterly blackout periods discussed below). The Policy Administrators shall maintain and update the list of Senior Management.</w:t>
      </w:r>
    </w:p>
    <w:p>
      <w:pPr>
        <w:spacing w:after="0" w:line="206" w:lineRule="exact"/>
        <w:rPr>
          <w:sz w:val="20"/>
          <w:szCs w:val="20"/>
          <w:color w:val="auto"/>
        </w:rPr>
      </w:pPr>
    </w:p>
    <w:p>
      <w:pPr>
        <w:ind w:left="2320" w:hanging="627"/>
        <w:spacing w:after="0"/>
        <w:tabs>
          <w:tab w:leader="none" w:pos="232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Quarterly Blackout Periods.</w:t>
      </w:r>
    </w:p>
    <w:p>
      <w:pPr>
        <w:spacing w:after="0" w:line="3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Members of Senior Management are prohibited from:</w:t>
      </w:r>
    </w:p>
    <w:p>
      <w:pPr>
        <w:spacing w:after="0" w:line="365" w:lineRule="exact"/>
        <w:rPr>
          <w:sz w:val="20"/>
          <w:szCs w:val="20"/>
          <w:color w:val="auto"/>
        </w:rPr>
      </w:pPr>
    </w:p>
    <w:p>
      <w:pPr>
        <w:ind w:left="720" w:hanging="299"/>
        <w:spacing w:after="0"/>
        <w:tabs>
          <w:tab w:leader="none" w:pos="7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transacting in any securities of Akamai and</w:t>
      </w:r>
    </w:p>
    <w:p>
      <w:pPr>
        <w:spacing w:after="0" w:line="323" w:lineRule="exact"/>
        <w:rPr>
          <w:rFonts w:ascii="Arial" w:cs="Arial" w:eastAsia="Arial" w:hAnsi="Arial"/>
          <w:sz w:val="19"/>
          <w:szCs w:val="19"/>
          <w:color w:val="auto"/>
        </w:rPr>
      </w:pPr>
    </w:p>
    <w:p>
      <w:pPr>
        <w:ind w:left="740" w:right="540" w:hanging="319"/>
        <w:spacing w:after="0" w:line="357" w:lineRule="auto"/>
        <w:tabs>
          <w:tab w:leader="none" w:pos="711"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entering into, amending, or terminating, subject to Section IV(d) of this Policy, any Pre-Planned Trading Program (as defined below)</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during the following period:</w:t>
      </w:r>
    </w:p>
    <w:p>
      <w:pPr>
        <w:spacing w:after="0" w:line="391" w:lineRule="exact"/>
        <w:rPr>
          <w:sz w:val="20"/>
          <w:szCs w:val="20"/>
          <w:color w:val="auto"/>
        </w:rPr>
      </w:pPr>
    </w:p>
    <w:p>
      <w:pPr>
        <w:ind w:left="700" w:hanging="280"/>
        <w:spacing w:after="0"/>
        <w:tabs>
          <w:tab w:leader="none" w:pos="70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9"/>
          <w:szCs w:val="19"/>
          <w:color w:val="auto"/>
        </w:rPr>
        <w:t>from the beginning of the day that is 10 business days prior to the close of each fiscal quarter until the beginning of the</w:t>
      </w:r>
    </w:p>
    <w:p>
      <w:pPr>
        <w:spacing w:after="0" w:line="85" w:lineRule="exact"/>
        <w:rPr>
          <w:rFonts w:ascii="Arial" w:cs="Arial" w:eastAsia="Arial" w:hAnsi="Arial"/>
          <w:sz w:val="19"/>
          <w:szCs w:val="19"/>
          <w:color w:val="auto"/>
        </w:rPr>
      </w:pPr>
    </w:p>
    <w:p>
      <w:pPr>
        <w:ind w:left="740" w:right="420"/>
        <w:spacing w:after="0" w:line="343" w:lineRule="auto"/>
        <w:rPr>
          <w:rFonts w:ascii="Arial" w:cs="Arial" w:eastAsia="Arial" w:hAnsi="Arial"/>
          <w:sz w:val="19"/>
          <w:szCs w:val="19"/>
          <w:color w:val="auto"/>
        </w:rPr>
      </w:pPr>
      <w:r>
        <w:rPr>
          <w:rFonts w:ascii="Times New Roman" w:cs="Times New Roman" w:eastAsia="Times New Roman" w:hAnsi="Times New Roman"/>
          <w:sz w:val="19"/>
          <w:szCs w:val="19"/>
          <w:color w:val="auto"/>
        </w:rPr>
        <w:t>second business day after the release of Akamai’s financial results for such quarter or, in the case of the fourth quarter, financial results for the year end.</w:t>
      </w:r>
    </w:p>
    <w:p>
      <w:pPr>
        <w:spacing w:after="0" w:line="171" w:lineRule="exact"/>
        <w:rPr>
          <w:sz w:val="20"/>
          <w:szCs w:val="20"/>
          <w:color w:val="auto"/>
        </w:rPr>
      </w:pPr>
    </w:p>
    <w:p>
      <w:pPr>
        <w:ind w:left="420" w:firstLine="636"/>
        <w:spacing w:after="0" w:line="310" w:lineRule="auto"/>
        <w:rPr>
          <w:sz w:val="20"/>
          <w:szCs w:val="20"/>
          <w:color w:val="auto"/>
        </w:rPr>
      </w:pPr>
      <w:r>
        <w:rPr>
          <w:rFonts w:ascii="Times New Roman" w:cs="Times New Roman" w:eastAsia="Times New Roman" w:hAnsi="Times New Roman"/>
          <w:sz w:val="19"/>
          <w:szCs w:val="19"/>
          <w:color w:val="auto"/>
        </w:rPr>
        <w:t>During a trading blackout or when members of Senior Management are aware of material non- public information, purchases on behalf of such members of Senior Management may be made under both the Employee Stock Purchase Plan pursuant to standing instructions and the 401(k) Plan resulting from matching company contributions based on a member of Senior Management’s periodic contribution of money pursuant to his or her prior payroll deduction election, stock options may be exercised for cash and the exercise or purchase price of any equity award under an Akamai equity plan and any tax obligation in connection with such an equity award may be paid or satisfied by the surrender of shares to Akamai, or the retention by Akamai of shares otherwise issuable under such equity award, in each case in a manner permitted by the applicable equity award agreement or plan. However, neither “cashless” option exercises nor sales of stock acquired under the Employee Stock Purchase Plan or 401(k) Plan or through stock option exercises are permitted during trading blackouts or when members of Senior Management are aware of material non-public information. In addition, an election to participate or increase or decrease a member of Senior Management’s periodic contributions to the Employee Stock Purchase Plan or to the 401(k) Plan (that will result in the receipt of Company stock through the 401(k) Plan match terms) are not permitted during trading blackouts or when such person is aware of material non-public information. In addition, when a trading blackout goes into effect, all Akamai Personnel who are subject to such trading blackout are required to cancel previously established limit orders or similar arrangements that could lead to trading during the blackout.</w:t>
      </w:r>
    </w:p>
    <w:p>
      <w:pPr>
        <w:spacing w:after="0" w:line="175" w:lineRule="exact"/>
        <w:rPr>
          <w:sz w:val="20"/>
          <w:szCs w:val="20"/>
          <w:color w:val="auto"/>
        </w:rPr>
      </w:pPr>
    </w:p>
    <w:p>
      <w:pPr>
        <w:ind w:left="2320" w:hanging="628"/>
        <w:spacing w:after="0"/>
        <w:tabs>
          <w:tab w:leader="none" w:pos="23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Pre-Clearance of Transactions</w:t>
      </w:r>
    </w:p>
    <w:p>
      <w:pPr>
        <w:spacing w:after="0" w:line="395" w:lineRule="exact"/>
        <w:rPr>
          <w:sz w:val="20"/>
          <w:szCs w:val="20"/>
          <w:color w:val="auto"/>
        </w:rPr>
      </w:pPr>
    </w:p>
    <w:p>
      <w:pPr>
        <w:ind w:left="420" w:right="180" w:firstLine="636"/>
        <w:spacing w:after="0" w:line="343" w:lineRule="auto"/>
        <w:rPr>
          <w:sz w:val="20"/>
          <w:szCs w:val="20"/>
          <w:color w:val="auto"/>
        </w:rPr>
      </w:pPr>
      <w:r>
        <w:rPr>
          <w:rFonts w:ascii="Times New Roman" w:cs="Times New Roman" w:eastAsia="Times New Roman" w:hAnsi="Times New Roman"/>
          <w:sz w:val="19"/>
          <w:szCs w:val="19"/>
          <w:color w:val="auto"/>
        </w:rPr>
        <w:t>All transactions in Akamai’s securities (acquisitions, dispositions, transfers, charitable donations, other gifts, deposits in trusts, distributions, etc.), either directly or indirectly, by Akamai Personnel listed</w:t>
      </w:r>
    </w:p>
    <w:p>
      <w:pPr>
        <w:spacing w:after="0" w:line="3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4</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360"/>
          </w:cols>
          <w:pgMar w:left="400" w:top="1415" w:right="1139" w:bottom="1440" w:gutter="0" w:footer="0" w:header="0"/>
        </w:sectPr>
      </w:pPr>
    </w:p>
    <w:bookmarkStart w:id="113" w:name="page114"/>
    <w:bookmarkEnd w:id="113"/>
    <w:p>
      <w:pPr>
        <w:ind w:left="420"/>
        <w:spacing w:after="0" w:line="315" w:lineRule="auto"/>
        <w:rPr>
          <w:sz w:val="20"/>
          <w:szCs w:val="20"/>
          <w:color w:val="auto"/>
        </w:rPr>
      </w:pPr>
      <w:r>
        <w:rPr>
          <w:rFonts w:ascii="Times New Roman" w:cs="Times New Roman" w:eastAsia="Times New Roman" w:hAnsi="Times New Roman"/>
          <w:sz w:val="19"/>
          <w:szCs w:val="19"/>
          <w:color w:val="auto"/>
        </w:rPr>
        <w:t xml:space="preserve">on the Pre-Clearance List attached as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hereto and members of their respective households or their other Affiliates (as defined below) must be pre-cleared in advance by the General Counsel, or one or more other members of Akamai’s Legal Department designated by the General Counsel (each, a “Policy Administrator”). A Securities Transaction Request form is attached hereto as </w:t>
      </w:r>
      <w:r>
        <w:rPr>
          <w:rFonts w:ascii="Times New Roman" w:cs="Times New Roman" w:eastAsia="Times New Roman" w:hAnsi="Times New Roman"/>
          <w:sz w:val="19"/>
          <w:szCs w:val="19"/>
          <w:u w:val="single" w:color="auto"/>
          <w:color w:val="auto"/>
        </w:rPr>
        <w:t>Annex B</w:t>
      </w:r>
      <w:r>
        <w:rPr>
          <w:rFonts w:ascii="Times New Roman" w:cs="Times New Roman" w:eastAsia="Times New Roman" w:hAnsi="Times New Roman"/>
          <w:sz w:val="19"/>
          <w:szCs w:val="19"/>
          <w:color w:val="auto"/>
        </w:rPr>
        <w:t>. No Policy Administrator may approve his or her own transactions. This requirement does not apply to purchases under the Employee Stock Purchase Plan or contributions to the 401(k) Plan, but does apply to market sales of those shares. If a member of Senior Management has in place a Pre-Planned Trading Program (as defined below), transactions outside such program shall be subject to pre-clearance. The Pre-Clearance List will be maintained and updated on a regular basis by a Policy Administrator.</w:t>
      </w:r>
    </w:p>
    <w:p>
      <w:pPr>
        <w:spacing w:after="0" w:line="250" w:lineRule="exact"/>
        <w:rPr>
          <w:sz w:val="20"/>
          <w:szCs w:val="20"/>
          <w:color w:val="auto"/>
        </w:rPr>
      </w:pPr>
    </w:p>
    <w:p>
      <w:pPr>
        <w:ind w:left="420" w:right="160" w:firstLine="636"/>
        <w:spacing w:after="0" w:line="319" w:lineRule="auto"/>
        <w:rPr>
          <w:sz w:val="20"/>
          <w:szCs w:val="20"/>
          <w:color w:val="auto"/>
        </w:rPr>
      </w:pPr>
      <w:r>
        <w:rPr>
          <w:rFonts w:ascii="Times New Roman" w:cs="Times New Roman" w:eastAsia="Times New Roman" w:hAnsi="Times New Roman"/>
          <w:sz w:val="19"/>
          <w:szCs w:val="19"/>
          <w:color w:val="auto"/>
        </w:rPr>
        <w:t xml:space="preserve">All transactions that are pre-cleared must be effected within five business days of receipt of the pre-clearance unless a longer or shorter period has been specified by the General Counsel or another Policy Administrator. A pre-cleared transaction (or any portion of a pre-cleared transaction) that has not been effected during the five business day period must be pre-cleared again prior to execution. </w:t>
      </w:r>
      <w:r>
        <w:rPr>
          <w:rFonts w:ascii="Times New Roman" w:cs="Times New Roman" w:eastAsia="Times New Roman" w:hAnsi="Times New Roman"/>
          <w:sz w:val="19"/>
          <w:szCs w:val="19"/>
          <w:b w:val="1"/>
          <w:bCs w:val="1"/>
          <w:color w:val="auto"/>
        </w:rPr>
        <w:t>Notwithstanding receipt of pre-clearance, if the Akamai Personnel becomes aware of material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non- public information or becomes subject to a blackout period before the transaction is effected, the transaction may not be completed.</w:t>
      </w:r>
    </w:p>
    <w:p>
      <w:pPr>
        <w:spacing w:after="0" w:line="215" w:lineRule="exact"/>
        <w:rPr>
          <w:sz w:val="20"/>
          <w:szCs w:val="20"/>
          <w:color w:val="auto"/>
        </w:rPr>
      </w:pPr>
    </w:p>
    <w:p>
      <w:pPr>
        <w:ind w:left="2320" w:hanging="627"/>
        <w:spacing w:after="0"/>
        <w:tabs>
          <w:tab w:leader="none" w:pos="23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Post-Transaction Notice</w:t>
      </w:r>
    </w:p>
    <w:p>
      <w:pPr>
        <w:spacing w:after="0" w:line="395" w:lineRule="exact"/>
        <w:rPr>
          <w:sz w:val="20"/>
          <w:szCs w:val="20"/>
          <w:color w:val="auto"/>
        </w:rPr>
      </w:pPr>
    </w:p>
    <w:p>
      <w:pPr>
        <w:ind w:left="420" w:firstLine="636"/>
        <w:spacing w:after="0" w:line="315" w:lineRule="auto"/>
        <w:rPr>
          <w:sz w:val="20"/>
          <w:szCs w:val="20"/>
          <w:color w:val="auto"/>
        </w:rPr>
      </w:pPr>
      <w:r>
        <w:rPr>
          <w:rFonts w:ascii="Times New Roman" w:cs="Times New Roman" w:eastAsia="Times New Roman" w:hAnsi="Times New Roman"/>
          <w:sz w:val="19"/>
          <w:szCs w:val="19"/>
          <w:color w:val="auto"/>
        </w:rPr>
        <w:t>Each person or entity covered by this Section III who is subject to reporting obligations under Section 16 of the Securities Exchange Act of 1934, as amended (a “Section 16 Reporting Person”), shall also notify, either directly or through a third party, a Policy Administrator of the occurrence of any transaction in Akamai’s securities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and the price at which the transaction occurred. Each Section 16 Reporting Person acknowledges and agrees that the Company may disclose the existence and specific terms of any transaction in Akamai’s securities entered into by such Section 16 Reporting Person at its sole discretion, including to comply with any SEC rules and/or Company policies.</w:t>
      </w:r>
    </w:p>
    <w:p>
      <w:pPr>
        <w:spacing w:after="0" w:line="200" w:lineRule="exact"/>
        <w:rPr>
          <w:sz w:val="20"/>
          <w:szCs w:val="20"/>
          <w:color w:val="auto"/>
        </w:rPr>
      </w:pPr>
    </w:p>
    <w:p>
      <w:pPr>
        <w:spacing w:after="0" w:line="311"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IV.</w:t>
      </w:r>
      <w:r>
        <w:rPr>
          <w:sz w:val="20"/>
          <w:szCs w:val="20"/>
          <w:color w:val="auto"/>
        </w:rPr>
        <w:tab/>
      </w:r>
      <w:r>
        <w:rPr>
          <w:rFonts w:ascii="Times New Roman" w:cs="Times New Roman" w:eastAsia="Times New Roman" w:hAnsi="Times New Roman"/>
          <w:sz w:val="19"/>
          <w:szCs w:val="19"/>
          <w:b w:val="1"/>
          <w:bCs w:val="1"/>
          <w:i w:val="1"/>
          <w:iCs w:val="1"/>
          <w:color w:val="auto"/>
        </w:rPr>
        <w:t>Pre-Planned Trading Programs</w:t>
      </w:r>
    </w:p>
    <w:p>
      <w:pPr>
        <w:spacing w:after="0" w:line="395" w:lineRule="exact"/>
        <w:rPr>
          <w:sz w:val="20"/>
          <w:szCs w:val="20"/>
          <w:color w:val="auto"/>
        </w:rPr>
      </w:pPr>
    </w:p>
    <w:p>
      <w:pPr>
        <w:jc w:val="both"/>
        <w:ind w:left="420" w:right="80" w:firstLine="636"/>
        <w:spacing w:after="0" w:line="331" w:lineRule="auto"/>
        <w:rPr>
          <w:sz w:val="20"/>
          <w:szCs w:val="20"/>
          <w:color w:val="auto"/>
        </w:rPr>
      </w:pPr>
      <w:r>
        <w:rPr>
          <w:rFonts w:ascii="Times New Roman" w:cs="Times New Roman" w:eastAsia="Times New Roman" w:hAnsi="Times New Roman"/>
          <w:sz w:val="19"/>
          <w:szCs w:val="19"/>
          <w:color w:val="auto"/>
        </w:rPr>
        <w:t>Because certain members of Senior Management may often be aware of material non-public information and therefore unable to engage in transactions in Akamai securities for extended periods of time, this Policy provides a limited exception to the restrictions on transacting and the procedural requirements described in Sections II and III above for such individuals.</w:t>
      </w:r>
    </w:p>
    <w:p>
      <w:pPr>
        <w:spacing w:after="0" w:line="183" w:lineRule="exact"/>
        <w:rPr>
          <w:sz w:val="20"/>
          <w:szCs w:val="20"/>
          <w:color w:val="auto"/>
        </w:rPr>
      </w:pPr>
    </w:p>
    <w:p>
      <w:pPr>
        <w:ind w:left="420" w:right="200" w:firstLine="636"/>
        <w:spacing w:after="0" w:line="343" w:lineRule="auto"/>
        <w:rPr>
          <w:sz w:val="20"/>
          <w:szCs w:val="20"/>
          <w:color w:val="auto"/>
        </w:rPr>
      </w:pPr>
      <w:r>
        <w:rPr>
          <w:rFonts w:ascii="Times New Roman" w:cs="Times New Roman" w:eastAsia="Times New Roman" w:hAnsi="Times New Roman"/>
          <w:sz w:val="19"/>
          <w:szCs w:val="19"/>
          <w:color w:val="auto"/>
        </w:rPr>
        <w:t>Purchases, sales, gifts and donations of Akamai securities made by Senior Management are not prohibited even if the individual is aware of material non-public information relating to Akamai or such</w:t>
      </w:r>
    </w:p>
    <w:p>
      <w:pPr>
        <w:spacing w:after="0" w:line="3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360"/>
          </w:cols>
          <w:pgMar w:left="400" w:top="1415" w:right="1139" w:bottom="1440" w:gutter="0" w:footer="0" w:header="0"/>
        </w:sectPr>
      </w:pPr>
    </w:p>
    <w:bookmarkStart w:id="114" w:name="page115"/>
    <w:bookmarkEnd w:id="114"/>
    <w:p>
      <w:pPr>
        <w:ind w:left="420"/>
        <w:spacing w:after="0" w:line="313" w:lineRule="auto"/>
        <w:rPr>
          <w:sz w:val="20"/>
          <w:szCs w:val="20"/>
          <w:color w:val="auto"/>
        </w:rPr>
      </w:pPr>
      <w:r>
        <w:rPr>
          <w:rFonts w:ascii="Times New Roman" w:cs="Times New Roman" w:eastAsia="Times New Roman" w:hAnsi="Times New Roman"/>
          <w:sz w:val="19"/>
          <w:szCs w:val="19"/>
          <w:color w:val="auto"/>
        </w:rPr>
        <w:t>person is in a blackout period so long as the purchase, sale, gift or donation is made pursuant to a written binding contract, plan or instruction which satisfies the applicable affirmative defense conditions of Rule 10b5-1(c), including as applicable the requirements applicable to an eligible sell-to-cover transaction as defined in Rule 10b5-1(c)(1)(ii)(D)(3), or for which the affirmative defense is available under Rule 10b5-1(c) because such plan was adopted prior to February 27, 2023, met the affirmative defense conditions in effect at the time of adoption, and was not modified or changed on or after February 27, 2023 (a “Pre- Planned Trading Program” and transactions thereunder, “Pre-Planned Transactions”), provided such Pre- Planned Trading Program is in writing and was submitted to Akamai for review prior to its adoption. Although Pre-Planned Trading Programs may be subsequently amended or terminated, such amendments or terminations may not be made during a blackout period or when the applicable person is aware of material non-public information unless such amendment or termination is required to comply with clause (d) of this Section IV.</w:t>
      </w:r>
    </w:p>
    <w:p>
      <w:pPr>
        <w:spacing w:after="0" w:line="211" w:lineRule="exact"/>
        <w:rPr>
          <w:sz w:val="20"/>
          <w:szCs w:val="20"/>
          <w:color w:val="auto"/>
        </w:rPr>
      </w:pPr>
    </w:p>
    <w:p>
      <w:pPr>
        <w:ind w:left="420" w:firstLine="636"/>
        <w:spacing w:after="0" w:line="313" w:lineRule="auto"/>
        <w:rPr>
          <w:sz w:val="20"/>
          <w:szCs w:val="20"/>
          <w:color w:val="auto"/>
        </w:rPr>
      </w:pPr>
      <w:r>
        <w:rPr>
          <w:rFonts w:ascii="Times New Roman" w:cs="Times New Roman" w:eastAsia="Times New Roman" w:hAnsi="Times New Roman"/>
          <w:sz w:val="19"/>
          <w:szCs w:val="19"/>
          <w:color w:val="auto"/>
        </w:rPr>
        <w:t>The SEC has adopted complex rules for the establishment, termination and amendment of Pre- Planned Trading Programs, including Rule 10b5-1, and a failure to comply with the rules could result in a loss of any affirmative defense to liability under the rules. Only Pre-Planned Trading Programs that satisfy the SEC’s rules and the Company’s policies will qualify for the Pre-Planned Transactions exceptions under Akamai’s policy. Accordingly, any eligible person seeking to put in place, terminate or amend a Pre-Planned Trading Program must provide the Company’s General Counsel or another Policy Administrator with a written copy of any proposed contract, plan or instruction and any proposed amendment to or termination of an existing Pre-Planned Trading Program and may be required to certify as to certain elements of such program to the extent required by the SEC’s rules, applicable law and/or the Company’s policies. The General Counsel or another Policy Administrator reserves the right to make a determination that such contract, plan or instruction is not eligible for the exceptions provided under this Policy or that a proposed amendment or termination may not be implemented.</w:t>
      </w:r>
    </w:p>
    <w:p>
      <w:pPr>
        <w:spacing w:after="0" w:line="194" w:lineRule="exact"/>
        <w:rPr>
          <w:sz w:val="20"/>
          <w:szCs w:val="20"/>
          <w:color w:val="auto"/>
        </w:rPr>
      </w:pPr>
    </w:p>
    <w:p>
      <w:pPr>
        <w:jc w:val="both"/>
        <w:ind w:left="420" w:right="620" w:firstLine="635"/>
        <w:spacing w:after="0" w:line="334" w:lineRule="auto"/>
        <w:rPr>
          <w:sz w:val="20"/>
          <w:szCs w:val="20"/>
          <w:color w:val="auto"/>
        </w:rPr>
      </w:pPr>
      <w:r>
        <w:rPr>
          <w:rFonts w:ascii="Times New Roman" w:cs="Times New Roman" w:eastAsia="Times New Roman" w:hAnsi="Times New Roman"/>
          <w:sz w:val="19"/>
          <w:szCs w:val="19"/>
          <w:b w:val="1"/>
          <w:bCs w:val="1"/>
          <w:i w:val="1"/>
          <w:iCs w:val="1"/>
          <w:color w:val="auto"/>
        </w:rPr>
        <w:t>To qualify for the exceptions under this Policy, a Pre-Planned Trading Program (other than the Company’s Employee Stock Purchase Program, must be reviewed by a Policy Administrator and satisfy the conditions described below, in addition to any other conditions as may be required to comply with any SEC rules or applicable law:</w:t>
      </w:r>
    </w:p>
    <w:p>
      <w:pPr>
        <w:spacing w:after="0" w:line="205" w:lineRule="exact"/>
        <w:rPr>
          <w:sz w:val="20"/>
          <w:szCs w:val="20"/>
          <w:color w:val="auto"/>
        </w:rPr>
      </w:pPr>
    </w:p>
    <w:p>
      <w:pPr>
        <w:ind w:left="1820" w:hanging="622"/>
        <w:spacing w:after="0"/>
        <w:tabs>
          <w:tab w:leader="none" w:pos="182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Pre-Planned Trading Program must be in writing and structured so that it:</w:t>
      </w:r>
    </w:p>
    <w:p>
      <w:pPr>
        <w:spacing w:after="0" w:line="218" w:lineRule="exact"/>
        <w:rPr>
          <w:rFonts w:ascii="Times New Roman" w:cs="Times New Roman" w:eastAsia="Times New Roman" w:hAnsi="Times New Roman"/>
          <w:sz w:val="19"/>
          <w:szCs w:val="19"/>
          <w:color w:val="auto"/>
        </w:rPr>
      </w:pPr>
    </w:p>
    <w:p>
      <w:pPr>
        <w:ind w:left="2400" w:hanging="627"/>
        <w:spacing w:after="0"/>
        <w:tabs>
          <w:tab w:leader="none" w:pos="240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specifies the amount, price and date of the transaction;</w:t>
      </w:r>
    </w:p>
    <w:p>
      <w:pPr>
        <w:spacing w:after="0" w:line="232" w:lineRule="exact"/>
        <w:rPr>
          <w:rFonts w:ascii="Times New Roman" w:cs="Times New Roman" w:eastAsia="Times New Roman" w:hAnsi="Times New Roman"/>
          <w:sz w:val="19"/>
          <w:szCs w:val="19"/>
          <w:color w:val="auto"/>
        </w:rPr>
      </w:pPr>
    </w:p>
    <w:p>
      <w:pPr>
        <w:ind w:left="2400" w:right="140" w:hanging="627"/>
        <w:spacing w:after="0" w:line="273" w:lineRule="auto"/>
        <w:tabs>
          <w:tab w:leader="none" w:pos="2398"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includes a written formula, algorithm or computer program for determining the amount of securities to be purchased, sold, gifted or donated and the price at which and the date on which the securities are to be purchased, sold, gifted or donated; </w:t>
      </w:r>
      <w:r>
        <w:rPr>
          <w:rFonts w:ascii="Times New Roman" w:cs="Times New Roman" w:eastAsia="Times New Roman" w:hAnsi="Times New Roman"/>
          <w:sz w:val="19"/>
          <w:szCs w:val="19"/>
          <w:u w:val="single" w:color="auto"/>
          <w:color w:val="auto"/>
        </w:rPr>
        <w:t>or</w:t>
      </w:r>
    </w:p>
    <w:p>
      <w:pPr>
        <w:spacing w:after="0" w:line="3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6</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320"/>
          </w:cols>
          <w:pgMar w:left="400" w:top="1415" w:right="1179" w:bottom="1440" w:gutter="0" w:footer="0" w:header="0"/>
        </w:sectPr>
      </w:pPr>
    </w:p>
    <w:bookmarkStart w:id="115" w:name="page116"/>
    <w:bookmarkEnd w:id="115"/>
    <w:p>
      <w:pPr>
        <w:spacing w:after="0" w:line="161" w:lineRule="exact"/>
        <w:rPr>
          <w:sz w:val="20"/>
          <w:szCs w:val="20"/>
          <w:color w:val="auto"/>
        </w:rPr>
      </w:pPr>
    </w:p>
    <w:p>
      <w:pPr>
        <w:ind w:left="2474" w:right="1020" w:hanging="628"/>
        <w:spacing w:after="0" w:line="285" w:lineRule="auto"/>
        <w:tabs>
          <w:tab w:leader="none" w:pos="2473"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precludes the person covered by this Policy from exercising any subsequent influence over how, when or whether to effect purchases, sales, gifts or donations.</w:t>
      </w:r>
      <w:r>
        <w:rPr>
          <w:rFonts w:ascii="Times New Roman" w:cs="Times New Roman" w:eastAsia="Times New Roman" w:hAnsi="Times New Roman"/>
          <w:sz w:val="25"/>
          <w:szCs w:val="25"/>
          <w:color w:val="auto"/>
          <w:vertAlign w:val="superscript"/>
        </w:rPr>
        <w:t>1</w:t>
      </w:r>
    </w:p>
    <w:p>
      <w:pPr>
        <w:spacing w:after="0" w:line="61" w:lineRule="exact"/>
        <w:rPr>
          <w:rFonts w:ascii="Times New Roman" w:cs="Times New Roman" w:eastAsia="Times New Roman" w:hAnsi="Times New Roman"/>
          <w:sz w:val="19"/>
          <w:szCs w:val="19"/>
          <w:color w:val="auto"/>
        </w:rPr>
      </w:pPr>
    </w:p>
    <w:p>
      <w:pPr>
        <w:ind w:left="1914" w:right="700" w:hanging="642"/>
        <w:spacing w:after="0" w:line="264" w:lineRule="auto"/>
        <w:tabs>
          <w:tab w:leader="none" w:pos="190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Pre-Planned Trading Program may not be structured in a way that, in the opinion of the General Counsel or another Policy Administrator, is designed to undermine the purposes of this Policy or would be likely (based on information available at the time of the establishment of the Pre-Planned Trading Program) to cause for trading to occur on or near an expected earnings release date, as determined by a Policy Administrator in their sole discretion.</w:t>
      </w:r>
    </w:p>
    <w:p>
      <w:pPr>
        <w:spacing w:after="0" w:line="176" w:lineRule="exact"/>
        <w:rPr>
          <w:rFonts w:ascii="Times New Roman" w:cs="Times New Roman" w:eastAsia="Times New Roman" w:hAnsi="Times New Roman"/>
          <w:sz w:val="19"/>
          <w:szCs w:val="19"/>
          <w:color w:val="auto"/>
        </w:rPr>
      </w:pPr>
    </w:p>
    <w:p>
      <w:pPr>
        <w:ind w:left="1894" w:hanging="622"/>
        <w:spacing w:after="0"/>
        <w:tabs>
          <w:tab w:leader="none" w:pos="189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under a Pre-Planned Trading Program must be made through the same broker.</w:t>
      </w:r>
    </w:p>
    <w:p>
      <w:pPr>
        <w:spacing w:after="0" w:line="205" w:lineRule="exact"/>
        <w:rPr>
          <w:rFonts w:ascii="Times New Roman" w:cs="Times New Roman" w:eastAsia="Times New Roman" w:hAnsi="Times New Roman"/>
          <w:sz w:val="19"/>
          <w:szCs w:val="19"/>
          <w:color w:val="auto"/>
        </w:rPr>
      </w:pPr>
    </w:p>
    <w:p>
      <w:pPr>
        <w:ind w:left="1914" w:right="640" w:hanging="642"/>
        <w:spacing w:after="0" w:line="269" w:lineRule="auto"/>
        <w:tabs>
          <w:tab w:leader="none" w:pos="190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establishing the Pre-Planned Trading Program must be able to prevent or cancel a transaction or terminate a Pre-Planned Trading Program at the request of the Company in the event of a secondary offering of Akamai securities, a tender offer, a significant corporation transaction or similar event or to comply with applicable federal and state laws.</w:t>
      </w:r>
    </w:p>
    <w:p>
      <w:pPr>
        <w:spacing w:after="0" w:line="173" w:lineRule="exact"/>
        <w:rPr>
          <w:rFonts w:ascii="Times New Roman" w:cs="Times New Roman" w:eastAsia="Times New Roman" w:hAnsi="Times New Roman"/>
          <w:sz w:val="19"/>
          <w:szCs w:val="19"/>
          <w:color w:val="auto"/>
        </w:rPr>
      </w:pPr>
    </w:p>
    <w:p>
      <w:pPr>
        <w:ind w:left="1894" w:hanging="622"/>
        <w:spacing w:after="0"/>
        <w:tabs>
          <w:tab w:leader="none" w:pos="189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transaction under a Pre-Planned Trading Program shall not occur until:</w:t>
      </w:r>
    </w:p>
    <w:p>
      <w:pPr>
        <w:spacing w:after="0" w:line="219" w:lineRule="exact"/>
        <w:rPr>
          <w:sz w:val="20"/>
          <w:szCs w:val="20"/>
          <w:color w:val="auto"/>
        </w:rPr>
      </w:pPr>
    </w:p>
    <w:p>
      <w:pPr>
        <w:ind w:left="2474" w:right="780" w:hanging="578"/>
        <w:spacing w:after="0" w:line="263" w:lineRule="auto"/>
        <w:tabs>
          <w:tab w:leader="none" w:pos="2467"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Section 16 Reporting Persons, the later of (x) 90 days after the adoption or modification (as specified in Rule 10b5-1) of such Pre-Planned Trading Program or (y) two business days following the disclosure of the Company’s financial results in an SEC periodic report for the fiscal quarter in which such program was adopted or modified (but in any event, the required cooling-off period is subject to a maximum of 120 days after adoption or modification of such program), or such other period of time as may be required to comply with any SEC rules or applicable law; and</w:t>
      </w:r>
    </w:p>
    <w:p>
      <w:pPr>
        <w:spacing w:after="0" w:line="180" w:lineRule="exact"/>
        <w:rPr>
          <w:rFonts w:ascii="Times New Roman" w:cs="Times New Roman" w:eastAsia="Times New Roman" w:hAnsi="Times New Roman"/>
          <w:sz w:val="19"/>
          <w:szCs w:val="19"/>
          <w:color w:val="auto"/>
        </w:rPr>
      </w:pPr>
    </w:p>
    <w:p>
      <w:pPr>
        <w:ind w:left="2474" w:right="1060" w:hanging="628"/>
        <w:spacing w:after="0" w:line="273" w:lineRule="auto"/>
        <w:tabs>
          <w:tab w:leader="none" w:pos="2473"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non-Section 16 Reporting Persons, at least 30 days after the adoption or modification (as specified in Rule 10b5-1) of such Pre-Planned Trading Program, or such other period of time as may be required to comply with any SEC rules or applicable law.</w:t>
      </w:r>
    </w:p>
    <w:p>
      <w:pPr>
        <w:spacing w:after="0" w:line="168" w:lineRule="exact"/>
        <w:rPr>
          <w:rFonts w:ascii="Times New Roman" w:cs="Times New Roman" w:eastAsia="Times New Roman" w:hAnsi="Times New Roman"/>
          <w:sz w:val="19"/>
          <w:szCs w:val="19"/>
          <w:color w:val="auto"/>
        </w:rPr>
      </w:pPr>
    </w:p>
    <w:p>
      <w:pPr>
        <w:ind w:left="1894" w:hanging="622"/>
        <w:spacing w:after="0"/>
        <w:tabs>
          <w:tab w:leader="none" w:pos="1894"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Pre-Planned Trading Program must include more than one transaction.</w:t>
      </w:r>
    </w:p>
    <w:p>
      <w:pPr>
        <w:spacing w:after="0" w:line="245" w:lineRule="exact"/>
        <w:rPr>
          <w:sz w:val="20"/>
          <w:szCs w:val="20"/>
          <w:color w:val="auto"/>
        </w:rPr>
      </w:pPr>
    </w:p>
    <w:p>
      <w:pPr>
        <w:ind w:left="494" w:right="580"/>
        <w:spacing w:after="0" w:line="318" w:lineRule="auto"/>
        <w:rPr>
          <w:sz w:val="20"/>
          <w:szCs w:val="20"/>
          <w:color w:val="auto"/>
        </w:rPr>
      </w:pPr>
      <w:r>
        <w:rPr>
          <w:rFonts w:ascii="Times New Roman" w:cs="Times New Roman" w:eastAsia="Times New Roman" w:hAnsi="Times New Roman"/>
          <w:sz w:val="19"/>
          <w:szCs w:val="19"/>
          <w:color w:val="auto"/>
        </w:rPr>
        <w:t>Although not required to do so, persons establishing Pre-Planned Trading Program are encouraged to consider structuring transactions to occur in smaller amounts at more frequent intervals as opposed to engaging in large transactions on an infrequent basis and to refrain from engaging in transactions in Akamai securities outside of the Pre-Planned Trading Program. With the approval of a Policy Administrator, persons who are not members of Senior Management may establish a Pre-Planned Trading Program that satisfies the conditions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1615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 w:firstLine="6"/>
        <w:spacing w:after="0" w:line="225" w:lineRule="auto"/>
        <w:tabs>
          <w:tab w:leader="none" w:pos="95"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event that an eligible person subject to this Policy implements a Pre-Planned Trading Program through a qualifying blind trust, the requirements set forth in paragraphs (b) through (f) of this section may be inapplicable.</w:t>
      </w:r>
    </w:p>
    <w:p>
      <w:pPr>
        <w:spacing w:after="0" w:line="200" w:lineRule="exact"/>
        <w:rPr>
          <w:sz w:val="20"/>
          <w:szCs w:val="20"/>
          <w:color w:val="auto"/>
        </w:rPr>
      </w:pPr>
    </w:p>
    <w:p>
      <w:pPr>
        <w:spacing w:after="0" w:line="215"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9"/>
          <w:szCs w:val="19"/>
          <w:color w:val="auto"/>
        </w:rPr>
        <w:t>7</w:t>
      </w:r>
    </w:p>
    <w:p>
      <w:pPr>
        <w:spacing w:after="0" w:line="35"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974"/>
          </w:cols>
          <w:pgMar w:left="326" w:top="1440" w:right="599" w:bottom="1440" w:gutter="0" w:footer="0" w:header="0"/>
        </w:sectPr>
      </w:pPr>
    </w:p>
    <w:bookmarkStart w:id="116" w:name="page117"/>
    <w:bookmarkEnd w:id="116"/>
    <w:p>
      <w:pPr>
        <w:ind w:left="420" w:right="500"/>
        <w:spacing w:after="0" w:line="316" w:lineRule="auto"/>
        <w:rPr>
          <w:sz w:val="20"/>
          <w:szCs w:val="20"/>
          <w:color w:val="auto"/>
        </w:rPr>
      </w:pPr>
      <w:r>
        <w:rPr>
          <w:rFonts w:ascii="Times New Roman" w:cs="Times New Roman" w:eastAsia="Times New Roman" w:hAnsi="Times New Roman"/>
          <w:sz w:val="19"/>
          <w:szCs w:val="19"/>
          <w:color w:val="auto"/>
        </w:rPr>
        <w:t>Each Section 16 Reporting Person shall notify a Policy Administrator, either directly or through a third party, as soon as possible, but in any event within one business day, if such person adopts, terminates or amends a Pre-Planned Trading Program. Such notification may be oral or in writing (including by e- mail) and should include the identity of the covered person and the nature of such adoption, termination or amendment. Each Section 16 Reporting Person acknowledges and agrees that the Company may disclose the existence and specific terms of a Pre-Planned Trading Program at its sole discretion, including to comply with any SEC rules and/or Company policies.</w:t>
      </w:r>
    </w:p>
    <w:p>
      <w:pPr>
        <w:spacing w:after="0" w:line="231" w:lineRule="exact"/>
        <w:rPr>
          <w:sz w:val="20"/>
          <w:szCs w:val="20"/>
          <w:color w:val="auto"/>
        </w:rPr>
      </w:pPr>
    </w:p>
    <w:p>
      <w:pPr>
        <w:ind w:left="1020" w:hanging="599"/>
        <w:spacing w:after="0"/>
        <w:tabs>
          <w:tab w:leader="none" w:pos="1020"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Policy Guidance</w:t>
      </w:r>
    </w:p>
    <w:p>
      <w:pPr>
        <w:spacing w:after="0" w:line="391" w:lineRule="exact"/>
        <w:rPr>
          <w:sz w:val="20"/>
          <w:szCs w:val="20"/>
          <w:color w:val="auto"/>
        </w:rPr>
      </w:pPr>
    </w:p>
    <w:p>
      <w:pPr>
        <w:jc w:val="both"/>
        <w:ind w:left="420" w:firstLine="635"/>
        <w:spacing w:after="0" w:line="326"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What is Material Non-Public Information? </w:t>
      </w:r>
      <w:r>
        <w:rPr>
          <w:rFonts w:ascii="Times New Roman" w:cs="Times New Roman" w:eastAsia="Times New Roman" w:hAnsi="Times New Roman"/>
          <w:sz w:val="19"/>
          <w:szCs w:val="19"/>
          <w:color w:val="auto"/>
        </w:rPr>
        <w:t>Material non-public information is any information that (i) is not generally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known to the public (“non-public information”) and (ii) if publicly known, would be likely to affect either the market price of Akamai’s securities or a person’s decision to buy, sell or hold Akamai’s securities (“material information”).</w:t>
      </w:r>
    </w:p>
    <w:p>
      <w:pPr>
        <w:spacing w:after="0" w:line="249" w:lineRule="exact"/>
        <w:rPr>
          <w:sz w:val="20"/>
          <w:szCs w:val="20"/>
          <w:color w:val="auto"/>
        </w:rPr>
      </w:pPr>
    </w:p>
    <w:p>
      <w:pPr>
        <w:ind w:left="420" w:right="60" w:firstLine="636"/>
        <w:spacing w:after="0" w:line="317"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Examples. </w:t>
      </w:r>
      <w:r>
        <w:rPr>
          <w:rFonts w:ascii="Times New Roman" w:cs="Times New Roman" w:eastAsia="Times New Roman" w:hAnsi="Times New Roman"/>
          <w:sz w:val="19"/>
          <w:szCs w:val="19"/>
          <w:color w:val="auto"/>
        </w:rPr>
        <w:t>Common examples of information that will frequently be regarded as material are: projections of future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sales, earnings or losses; news of a pending or proposed merger, acquisition or tender offer; an important financing transaction; changes in dividend policies or offering of additional securities; changes in management; significant new products or discoveries; impending bankruptcy or financial liquidity problems; internal financial information that departs from what the market would expect; and the gain or loss of a major contract. Either positive or negative information may be material. We emphasize that this list is merely illustrative.</w:t>
      </w:r>
    </w:p>
    <w:p>
      <w:pPr>
        <w:spacing w:after="0" w:line="256" w:lineRule="exact"/>
        <w:rPr>
          <w:sz w:val="20"/>
          <w:szCs w:val="20"/>
          <w:color w:val="auto"/>
        </w:rPr>
      </w:pPr>
    </w:p>
    <w:p>
      <w:pPr>
        <w:ind w:left="420" w:right="500" w:firstLine="636"/>
        <w:spacing w:after="0" w:line="32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Twenty-Twenty Hindsight. </w:t>
      </w:r>
      <w:r>
        <w:rPr>
          <w:rFonts w:ascii="Times New Roman" w:cs="Times New Roman" w:eastAsia="Times New Roman" w:hAnsi="Times New Roman"/>
          <w:sz w:val="19"/>
          <w:szCs w:val="19"/>
          <w:color w:val="auto"/>
        </w:rPr>
        <w:t>Remember, if your securities transactions become the subject of scrutiny, they will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viewed after-the-fact with the benefit of hindsight. As a result, before engaging in any transaction, you should carefully consider how regulators and others might view your transaction in hindsight.</w:t>
      </w:r>
    </w:p>
    <w:p>
      <w:pPr>
        <w:spacing w:after="0" w:line="249" w:lineRule="exact"/>
        <w:rPr>
          <w:sz w:val="20"/>
          <w:szCs w:val="20"/>
          <w:color w:val="auto"/>
        </w:rPr>
      </w:pPr>
    </w:p>
    <w:p>
      <w:pPr>
        <w:ind w:left="420" w:right="100" w:firstLine="635"/>
        <w:spacing w:after="0" w:line="319"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Who is Considered a Related Person or an Affiliate? </w:t>
      </w:r>
      <w:r>
        <w:rPr>
          <w:rFonts w:ascii="Times New Roman" w:cs="Times New Roman" w:eastAsia="Times New Roman" w:hAnsi="Times New Roman"/>
          <w:sz w:val="19"/>
          <w:szCs w:val="19"/>
          <w:color w:val="auto"/>
        </w:rPr>
        <w:t>The restrictions in this Policy also apply to your “related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persons”. For purposes of this Policy, “related persons” are family members and others living in your household, and an “Affiliate” is a person that directly or indirectly controls or is controlled by a person. Akamai Personnel are responsible for the compliance with this Policy by their related persons and Affiliates.</w:t>
      </w:r>
    </w:p>
    <w:p>
      <w:pPr>
        <w:spacing w:after="0" w:line="243" w:lineRule="exact"/>
        <w:rPr>
          <w:sz w:val="20"/>
          <w:szCs w:val="20"/>
          <w:color w:val="auto"/>
        </w:rPr>
      </w:pPr>
    </w:p>
    <w:p>
      <w:pPr>
        <w:ind w:left="420" w:right="80" w:firstLine="636"/>
        <w:spacing w:after="0" w:line="33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Company Transactions. </w:t>
      </w:r>
      <w:r>
        <w:rPr>
          <w:rFonts w:ascii="Times New Roman" w:cs="Times New Roman" w:eastAsia="Times New Roman" w:hAnsi="Times New Roman"/>
          <w:sz w:val="19"/>
          <w:szCs w:val="19"/>
          <w:color w:val="auto"/>
        </w:rPr>
        <w:t>While the provisions in Sections II, III and IV of this Policy are not applicable to transactions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by the Company itself, transactions by the Company will only be made in compliance with applicable U.S. federal securities laws, including those relating to insider trading.</w:t>
      </w:r>
    </w:p>
    <w:p>
      <w:pPr>
        <w:spacing w:after="0" w:line="227" w:lineRule="exact"/>
        <w:rPr>
          <w:sz w:val="20"/>
          <w:szCs w:val="20"/>
          <w:color w:val="auto"/>
        </w:rPr>
      </w:pPr>
    </w:p>
    <w:p>
      <w:pPr>
        <w:ind w:left="420" w:right="60" w:firstLine="636"/>
        <w:spacing w:after="0" w:line="3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If I don’t </w:t>
      </w:r>
      <w:r>
        <w:rPr>
          <w:rFonts w:ascii="Times New Roman" w:cs="Times New Roman" w:eastAsia="Times New Roman" w:hAnsi="Times New Roman"/>
          <w:sz w:val="19"/>
          <w:szCs w:val="19"/>
          <w:b w:val="1"/>
          <w:bCs w:val="1"/>
          <w:i w:val="1"/>
          <w:iCs w:val="1"/>
          <w:u w:val="single" w:color="auto"/>
          <w:color w:val="auto"/>
        </w:rPr>
        <w:t>use</w:t>
      </w:r>
      <w:r>
        <w:rPr>
          <w:rFonts w:ascii="Times New Roman" w:cs="Times New Roman" w:eastAsia="Times New Roman" w:hAnsi="Times New Roman"/>
          <w:sz w:val="19"/>
          <w:szCs w:val="19"/>
          <w:b w:val="1"/>
          <w:bCs w:val="1"/>
          <w:i w:val="1"/>
          <w:iCs w:val="1"/>
          <w:color w:val="auto"/>
        </w:rPr>
        <w:t xml:space="preserve"> Material Non-Public Information When Transacting in Akamai Securities, is that Trade Exempt from the Policy? </w:t>
      </w:r>
      <w:r>
        <w:rPr>
          <w:rFonts w:ascii="Times New Roman" w:cs="Times New Roman" w:eastAsia="Times New Roman" w:hAnsi="Times New Roman"/>
          <w:sz w:val="19"/>
          <w:szCs w:val="19"/>
          <w:color w:val="auto"/>
        </w:rPr>
        <w:t>No. Under the SEC rules and this Policy, you may not transact in</w:t>
      </w:r>
    </w:p>
    <w:p>
      <w:pPr>
        <w:spacing w:after="0" w:line="3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8</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360"/>
          </w:cols>
          <w:pgMar w:left="400" w:top="1415" w:right="1139" w:bottom="1440" w:gutter="0" w:footer="0" w:header="0"/>
        </w:sectPr>
      </w:pPr>
    </w:p>
    <w:bookmarkStart w:id="117" w:name="page118"/>
    <w:bookmarkEnd w:id="117"/>
    <w:p>
      <w:pPr>
        <w:jc w:val="both"/>
        <w:ind w:left="420" w:right="160"/>
        <w:spacing w:after="0" w:line="331" w:lineRule="auto"/>
        <w:rPr>
          <w:sz w:val="20"/>
          <w:szCs w:val="20"/>
          <w:color w:val="auto"/>
        </w:rPr>
      </w:pPr>
      <w:r>
        <w:rPr>
          <w:rFonts w:ascii="Times New Roman" w:cs="Times New Roman" w:eastAsia="Times New Roman" w:hAnsi="Times New Roman"/>
          <w:sz w:val="19"/>
          <w:szCs w:val="19"/>
          <w:color w:val="auto"/>
        </w:rPr>
        <w:t>Akamai securities if you are aware of material non-public information about Akamai. The SEC has adopted this approach as reflecting the common sense notion that a trader who is aware of material non- public information when making a transaction decision inevitably makes use of the information.</w:t>
      </w:r>
    </w:p>
    <w:p>
      <w:pPr>
        <w:spacing w:after="0" w:line="232" w:lineRule="exact"/>
        <w:rPr>
          <w:sz w:val="20"/>
          <w:szCs w:val="20"/>
          <w:color w:val="auto"/>
        </w:rPr>
      </w:pPr>
    </w:p>
    <w:p>
      <w:pPr>
        <w:jc w:val="both"/>
        <w:ind w:left="420" w:right="100" w:firstLine="636"/>
        <w:spacing w:after="0" w:line="310" w:lineRule="auto"/>
        <w:rPr>
          <w:sz w:val="20"/>
          <w:szCs w:val="20"/>
          <w:color w:val="auto"/>
        </w:rPr>
      </w:pPr>
      <w:r>
        <w:rPr>
          <w:rFonts w:ascii="Times New Roman" w:cs="Times New Roman" w:eastAsia="Times New Roman" w:hAnsi="Times New Roman"/>
          <w:sz w:val="19"/>
          <w:szCs w:val="19"/>
          <w:b w:val="1"/>
          <w:bCs w:val="1"/>
          <w:i w:val="1"/>
          <w:iCs w:val="1"/>
          <w:color w:val="auto"/>
        </w:rPr>
        <w:t xml:space="preserve">Tipping Information to Others. </w:t>
      </w:r>
      <w:r>
        <w:rPr>
          <w:rFonts w:ascii="Times New Roman" w:cs="Times New Roman" w:eastAsia="Times New Roman" w:hAnsi="Times New Roman"/>
          <w:sz w:val="19"/>
          <w:szCs w:val="19"/>
          <w:color w:val="auto"/>
        </w:rPr>
        <w:t>Whether the information is proprietary information about Akamai or information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could have an impact on our stock price, Akamai Personnel must not pass the information on to others. The potential penalties described below apply, whether or not you derive any benefit from another person’s actions.</w:t>
      </w:r>
    </w:p>
    <w:p>
      <w:pPr>
        <w:spacing w:after="0" w:line="1" w:lineRule="exact"/>
        <w:rPr>
          <w:sz w:val="20"/>
          <w:szCs w:val="20"/>
          <w:color w:val="auto"/>
        </w:rPr>
      </w:pPr>
    </w:p>
    <w:p>
      <w:pPr>
        <w:ind w:left="420" w:firstLine="636"/>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When is Information Considered to be Public? </w:t>
      </w:r>
      <w:r>
        <w:rPr>
          <w:rFonts w:ascii="Times New Roman" w:cs="Times New Roman" w:eastAsia="Times New Roman" w:hAnsi="Times New Roman"/>
          <w:sz w:val="19"/>
          <w:szCs w:val="19"/>
          <w:color w:val="auto"/>
        </w:rPr>
        <w:t>Because Akamai’s stockholders and the investing public should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afforded time to receive information and to act upon it, as a general rule, you should not engage in any transactions until the second business day after the material non-public information has been released. Thus, if an announcement is made on a Monday, Wednesday generally would be the first day on which you may trade. If the information released is complex, such as a prospective major financing or other transaction, it may be necessary to allow additional time for the information to be absorbed by investors. In such circumstances, you may be notified by the General Counsel, or another member of Akamai’s Legal Department, regarding a suitable waiting period before trading.</w:t>
      </w:r>
    </w:p>
    <w:p>
      <w:pPr>
        <w:spacing w:after="0" w:line="259" w:lineRule="exact"/>
        <w:rPr>
          <w:sz w:val="20"/>
          <w:szCs w:val="20"/>
          <w:color w:val="auto"/>
        </w:rPr>
      </w:pPr>
    </w:p>
    <w:p>
      <w:pPr>
        <w:ind w:left="420" w:right="100" w:firstLine="635"/>
        <w:spacing w:after="0" w:line="319"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Prevention of Insider Trading by Others. </w:t>
      </w:r>
      <w:r>
        <w:rPr>
          <w:rFonts w:ascii="Times New Roman" w:cs="Times New Roman" w:eastAsia="Times New Roman" w:hAnsi="Times New Roman"/>
          <w:sz w:val="19"/>
          <w:szCs w:val="19"/>
          <w:color w:val="auto"/>
        </w:rPr>
        <w:t>If you become aware of a potential insider trading violation, you must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immediately advise one of the Policy Administrators. You should also take steps, where appropriate, to prevent persons under your supervision and/or control from using material non- public information for trading purposes. Moreover, Akamai-imposed sanctions, including dismissal for cause, could result if an employee fails to comply with this Policy or any other Company policy.</w:t>
      </w:r>
    </w:p>
    <w:p>
      <w:pPr>
        <w:spacing w:after="0" w:line="244" w:lineRule="exact"/>
        <w:rPr>
          <w:sz w:val="20"/>
          <w:szCs w:val="20"/>
          <w:color w:val="auto"/>
        </w:rPr>
      </w:pPr>
    </w:p>
    <w:p>
      <w:pPr>
        <w:ind w:left="420" w:right="100" w:firstLine="636"/>
        <w:spacing w:after="0" w:line="32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Confidentiality. </w:t>
      </w:r>
      <w:r>
        <w:rPr>
          <w:rFonts w:ascii="Times New Roman" w:cs="Times New Roman" w:eastAsia="Times New Roman" w:hAnsi="Times New Roman"/>
          <w:sz w:val="19"/>
          <w:szCs w:val="19"/>
          <w:color w:val="auto"/>
        </w:rPr>
        <w:t>Serious problems could be caused for Akamai by the unauthorized disclosure of material non-public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information about Akamai, whether or not for the purpose of facilitating improper trading in the securities of Akamai. Akamai Personnel should not discuss internal company matters or developments with anyone outside of the Company, except as required in the performance of regular corporate duties.</w:t>
      </w:r>
    </w:p>
    <w:p>
      <w:pPr>
        <w:spacing w:after="0" w:line="17" w:lineRule="exact"/>
        <w:rPr>
          <w:sz w:val="20"/>
          <w:szCs w:val="20"/>
          <w:color w:val="auto"/>
        </w:rPr>
      </w:pPr>
    </w:p>
    <w:p>
      <w:pPr>
        <w:ind w:left="420" w:firstLine="716"/>
        <w:spacing w:after="0" w:line="318" w:lineRule="auto"/>
        <w:rPr>
          <w:sz w:val="20"/>
          <w:szCs w:val="20"/>
          <w:color w:val="auto"/>
        </w:rPr>
      </w:pPr>
      <w:r>
        <w:rPr>
          <w:rFonts w:ascii="Times New Roman" w:cs="Times New Roman" w:eastAsia="Times New Roman" w:hAnsi="Times New Roman"/>
          <w:sz w:val="19"/>
          <w:szCs w:val="19"/>
          <w:color w:val="auto"/>
        </w:rPr>
        <w:t>This prohibition applies specifically (but not exclusively) to inquiries about Akamai that may be made by the financial press, investment analysts or others in the financial community. It is important that all such communications on behalf of Akamai be through an appropriately designated officer under carefully controlled circumstances. Unless you are expressly authorized to the contrary, if you receive any inquiries of this nature, you should decline comment and refer the inquirer to Investor Relations personnel.</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i w:val="1"/>
          <w:iCs w:val="1"/>
          <w:color w:val="auto"/>
        </w:rPr>
        <w:t>Laws and Regulations Underlying this Securities Transaction Policy</w:t>
      </w:r>
    </w:p>
    <w:p>
      <w:pPr>
        <w:spacing w:after="0" w:line="200" w:lineRule="exact"/>
        <w:rPr>
          <w:sz w:val="20"/>
          <w:szCs w:val="20"/>
          <w:color w:val="auto"/>
        </w:rPr>
      </w:pPr>
    </w:p>
    <w:p>
      <w:pPr>
        <w:spacing w:after="0" w:line="208" w:lineRule="exact"/>
        <w:rPr>
          <w:sz w:val="20"/>
          <w:szCs w:val="20"/>
          <w:color w:val="auto"/>
        </w:rPr>
      </w:pPr>
    </w:p>
    <w:p>
      <w:pPr>
        <w:ind w:left="420" w:right="200" w:firstLine="636"/>
        <w:spacing w:after="0" w:line="343" w:lineRule="auto"/>
        <w:rPr>
          <w:sz w:val="20"/>
          <w:szCs w:val="20"/>
          <w:color w:val="auto"/>
        </w:rPr>
      </w:pPr>
      <w:r>
        <w:rPr>
          <w:rFonts w:ascii="Times New Roman" w:cs="Times New Roman" w:eastAsia="Times New Roman" w:hAnsi="Times New Roman"/>
          <w:sz w:val="19"/>
          <w:szCs w:val="19"/>
          <w:color w:val="auto"/>
        </w:rPr>
        <w:t>Transactions in Akamai’s securities are subject to the federal securities laws and the regulations adopted by the SEC. These laws and regulations make it illegal for an individual to buy or sell securities</w:t>
      </w:r>
    </w:p>
    <w:p>
      <w:pPr>
        <w:spacing w:after="0" w:line="3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9</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340"/>
          </w:cols>
          <w:pgMar w:left="400" w:top="1415" w:right="1159" w:bottom="1440" w:gutter="0" w:footer="0" w:header="0"/>
        </w:sectPr>
      </w:pPr>
    </w:p>
    <w:bookmarkStart w:id="118" w:name="page119"/>
    <w:bookmarkEnd w:id="118"/>
    <w:p>
      <w:pPr>
        <w:ind w:left="420" w:right="100"/>
        <w:spacing w:after="0" w:line="315" w:lineRule="auto"/>
        <w:rPr>
          <w:sz w:val="20"/>
          <w:szCs w:val="20"/>
          <w:color w:val="auto"/>
        </w:rPr>
      </w:pPr>
      <w:r>
        <w:rPr>
          <w:rFonts w:ascii="Times New Roman" w:cs="Times New Roman" w:eastAsia="Times New Roman" w:hAnsi="Times New Roman"/>
          <w:sz w:val="19"/>
          <w:szCs w:val="19"/>
          <w:color w:val="auto"/>
        </w:rPr>
        <w:t>of Akamai on the basis of “material non-public information.” This means that it is illegal for you to buy or sell securities of Akamai if you are aware of material information about Akamai that has not been made available to the public. More guidance on what constitutes material non-public information is provided above. It is also important to note that the test is whether you are simply “aware” of material non-public information; it does not matter whether the information influenced your decision to trade in Akamai securities. The SEC takes insider trading very seriously and devotes significant resources to uncovering the activity and to prosecuting offenders. Liability may extend not only to the individuals who trade on the basis of “material non-public information,” but also to their “tippers.” Akamai and “controlling persons” of Akamai may also be liable for violations by Akamai Personnel.</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i w:val="1"/>
          <w:iCs w:val="1"/>
          <w:color w:val="auto"/>
        </w:rPr>
        <w:t>Consequences of Insider Trading</w:t>
      </w:r>
    </w:p>
    <w:p>
      <w:pPr>
        <w:spacing w:after="0" w:line="395" w:lineRule="exact"/>
        <w:rPr>
          <w:sz w:val="20"/>
          <w:szCs w:val="20"/>
          <w:color w:val="auto"/>
        </w:rPr>
      </w:pPr>
    </w:p>
    <w:p>
      <w:pPr>
        <w:ind w:left="420" w:right="40" w:firstLine="636"/>
        <w:spacing w:after="0" w:line="323" w:lineRule="auto"/>
        <w:rPr>
          <w:sz w:val="20"/>
          <w:szCs w:val="20"/>
          <w:color w:val="auto"/>
        </w:rPr>
      </w:pPr>
      <w:r>
        <w:rPr>
          <w:rFonts w:ascii="Times New Roman" w:cs="Times New Roman" w:eastAsia="Times New Roman" w:hAnsi="Times New Roman"/>
          <w:sz w:val="19"/>
          <w:szCs w:val="19"/>
          <w:color w:val="auto"/>
        </w:rPr>
        <w:t>Violation of any of the foregoing rules is grounds for disciplinary action by Akamai, including termination of employment. In addition to any disciplinary actions Akamai may take, insider trading can also result in administrative, civil or criminal proceedings which can result in significant fines and civil penalties, being barred from service as an officer or director of a public company, or imprisonment.</w:t>
      </w:r>
    </w:p>
    <w:p>
      <w:pPr>
        <w:spacing w:after="0" w:line="211"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9"/>
          <w:szCs w:val="19"/>
          <w:b w:val="1"/>
          <w:bCs w:val="1"/>
          <w:color w:val="auto"/>
        </w:rPr>
        <w:t>VI.</w:t>
      </w:r>
      <w:r>
        <w:rPr>
          <w:sz w:val="20"/>
          <w:szCs w:val="20"/>
          <w:color w:val="auto"/>
        </w:rPr>
        <w:tab/>
      </w:r>
      <w:r>
        <w:rPr>
          <w:rFonts w:ascii="Times New Roman" w:cs="Times New Roman" w:eastAsia="Times New Roman" w:hAnsi="Times New Roman"/>
          <w:sz w:val="19"/>
          <w:szCs w:val="19"/>
          <w:b w:val="1"/>
          <w:bCs w:val="1"/>
          <w:i w:val="1"/>
          <w:iCs w:val="1"/>
          <w:color w:val="auto"/>
        </w:rPr>
        <w:t>Company Assistance</w:t>
      </w:r>
    </w:p>
    <w:p>
      <w:pPr>
        <w:spacing w:after="0" w:line="395" w:lineRule="exact"/>
        <w:rPr>
          <w:sz w:val="20"/>
          <w:szCs w:val="20"/>
          <w:color w:val="auto"/>
        </w:rPr>
      </w:pPr>
    </w:p>
    <w:p>
      <w:pPr>
        <w:ind w:left="420" w:right="520" w:firstLine="636"/>
        <w:spacing w:after="0" w:line="324" w:lineRule="auto"/>
        <w:rPr>
          <w:sz w:val="20"/>
          <w:szCs w:val="20"/>
          <w:color w:val="auto"/>
        </w:rPr>
      </w:pPr>
      <w:r>
        <w:rPr>
          <w:rFonts w:ascii="Times New Roman" w:cs="Times New Roman" w:eastAsia="Times New Roman" w:hAnsi="Times New Roman"/>
          <w:sz w:val="19"/>
          <w:szCs w:val="19"/>
          <w:color w:val="auto"/>
        </w:rPr>
        <w:t>Any person who has any questions about specific transactions or this Policy in general may obtain additional guidance from the Policy Administrators. Remember, however, the ultimate responsibility for adhering to this Policy and avoiding improper transactions rests with you. In this regard, it is imperative that you use your best judgment.</w:t>
      </w:r>
    </w:p>
    <w:p>
      <w:pPr>
        <w:spacing w:after="0" w:line="317"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VII.</w:t>
      </w:r>
      <w:r>
        <w:rPr>
          <w:sz w:val="20"/>
          <w:szCs w:val="20"/>
          <w:color w:val="auto"/>
        </w:rPr>
        <w:tab/>
      </w:r>
      <w:r>
        <w:rPr>
          <w:rFonts w:ascii="Times New Roman" w:cs="Times New Roman" w:eastAsia="Times New Roman" w:hAnsi="Times New Roman"/>
          <w:sz w:val="19"/>
          <w:szCs w:val="19"/>
          <w:b w:val="1"/>
          <w:bCs w:val="1"/>
          <w:i w:val="1"/>
          <w:iCs w:val="1"/>
          <w:color w:val="auto"/>
        </w:rPr>
        <w:t>Limitation on Liability</w:t>
      </w:r>
    </w:p>
    <w:p>
      <w:pPr>
        <w:spacing w:after="0" w:line="382" w:lineRule="exact"/>
        <w:rPr>
          <w:sz w:val="20"/>
          <w:szCs w:val="20"/>
          <w:color w:val="auto"/>
        </w:rPr>
      </w:pPr>
    </w:p>
    <w:p>
      <w:pPr>
        <w:ind w:left="420" w:right="80" w:firstLine="636"/>
        <w:spacing w:after="0" w:line="319" w:lineRule="auto"/>
        <w:rPr>
          <w:sz w:val="20"/>
          <w:szCs w:val="20"/>
          <w:color w:val="auto"/>
        </w:rPr>
      </w:pPr>
      <w:r>
        <w:rPr>
          <w:rFonts w:ascii="Times New Roman" w:cs="Times New Roman" w:eastAsia="Times New Roman" w:hAnsi="Times New Roman"/>
          <w:sz w:val="19"/>
          <w:szCs w:val="19"/>
          <w:color w:val="auto"/>
        </w:rPr>
        <w:t>None of the Company, the General Counsel, the other Policy Administrators or the Company’s other employees will have any liability for any delay in reviewing, or refusal of, a request for pre- clearance submitted pursuant to Section III.B.2 or a Pre-Planned Trading Program submitted pursuant to Section IV. Notwithstanding any pre-clearance of a transaction pursuant to Section III.B.2 or review of a Pre-Planned Trading Program pursuant to Section IV, none of the Company, the General Counsel, the other Policy Administrators or the Company’s other employees assumes any liability for the legality or consequences of such transaction or Pre-Planned Trading Program to the person engaging in or adopting such transaction or program.</w:t>
      </w:r>
    </w:p>
    <w:p>
      <w:pPr>
        <w:spacing w:after="0" w:line="200" w:lineRule="exact"/>
        <w:rPr>
          <w:sz w:val="20"/>
          <w:szCs w:val="20"/>
          <w:color w:val="auto"/>
        </w:rPr>
      </w:pPr>
    </w:p>
    <w:p>
      <w:pPr>
        <w:spacing w:after="0" w:line="240"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9"/>
          <w:szCs w:val="19"/>
          <w:b w:val="1"/>
          <w:bCs w:val="1"/>
          <w:color w:val="auto"/>
        </w:rPr>
        <w:t>VIII.</w:t>
      </w:r>
      <w:r>
        <w:rPr>
          <w:sz w:val="20"/>
          <w:szCs w:val="20"/>
          <w:color w:val="auto"/>
        </w:rPr>
        <w:tab/>
      </w:r>
      <w:r>
        <w:rPr>
          <w:rFonts w:ascii="Times New Roman" w:cs="Times New Roman" w:eastAsia="Times New Roman" w:hAnsi="Times New Roman"/>
          <w:sz w:val="19"/>
          <w:szCs w:val="19"/>
          <w:b w:val="1"/>
          <w:bCs w:val="1"/>
          <w:i w:val="1"/>
          <w:iCs w:val="1"/>
          <w:color w:val="auto"/>
        </w:rPr>
        <w:t>Application of Policy After Cessation of Service</w:t>
      </w:r>
    </w:p>
    <w:p>
      <w:pPr>
        <w:spacing w:after="0" w:line="395" w:lineRule="exact"/>
        <w:rPr>
          <w:sz w:val="20"/>
          <w:szCs w:val="20"/>
          <w:color w:val="auto"/>
        </w:rPr>
      </w:pPr>
    </w:p>
    <w:p>
      <w:pPr>
        <w:ind w:left="420" w:firstLine="636"/>
        <w:spacing w:after="0" w:line="343" w:lineRule="auto"/>
        <w:rPr>
          <w:sz w:val="20"/>
          <w:szCs w:val="20"/>
          <w:color w:val="auto"/>
        </w:rPr>
      </w:pPr>
      <w:r>
        <w:rPr>
          <w:rFonts w:ascii="Times New Roman" w:cs="Times New Roman" w:eastAsia="Times New Roman" w:hAnsi="Times New Roman"/>
          <w:sz w:val="19"/>
          <w:szCs w:val="19"/>
          <w:color w:val="auto"/>
        </w:rPr>
        <w:t>If a person ceases to be a director, employee or consultant of Akamai at a time when he or she is aware of material non-public information concerning the Company, the prohibition on transacting in</w:t>
      </w:r>
    </w:p>
    <w:p>
      <w:pPr>
        <w:spacing w:after="0" w:line="35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9"/>
          <w:szCs w:val="19"/>
          <w:color w:val="auto"/>
        </w:rPr>
        <w:t>10</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340"/>
          </w:cols>
          <w:pgMar w:left="400" w:top="1415" w:right="1159" w:bottom="1440" w:gutter="0" w:footer="0" w:header="0"/>
        </w:sectPr>
      </w:pPr>
    </w:p>
    <w:bookmarkStart w:id="119" w:name="page120"/>
    <w:bookmarkEnd w:id="119"/>
    <w:p>
      <w:pPr>
        <w:ind w:left="420" w:right="99"/>
        <w:spacing w:after="0" w:line="343" w:lineRule="auto"/>
        <w:rPr>
          <w:sz w:val="20"/>
          <w:szCs w:val="20"/>
          <w:color w:val="auto"/>
        </w:rPr>
      </w:pPr>
      <w:r>
        <w:rPr>
          <w:rFonts w:ascii="Times New Roman" w:cs="Times New Roman" w:eastAsia="Times New Roman" w:hAnsi="Times New Roman"/>
          <w:sz w:val="19"/>
          <w:szCs w:val="19"/>
          <w:color w:val="auto"/>
        </w:rPr>
        <w:t>Akamai securities under the federal securities laws will continue to apply to such person until that information has become public or is no longer material.</w:t>
      </w:r>
    </w:p>
    <w:p>
      <w:pPr>
        <w:spacing w:after="0" w:line="15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IX.</w:t>
      </w:r>
      <w:r>
        <w:rPr>
          <w:sz w:val="20"/>
          <w:szCs w:val="20"/>
          <w:color w:val="auto"/>
        </w:rPr>
        <w:tab/>
      </w:r>
      <w:r>
        <w:rPr>
          <w:rFonts w:ascii="Times New Roman" w:cs="Times New Roman" w:eastAsia="Times New Roman" w:hAnsi="Times New Roman"/>
          <w:sz w:val="19"/>
          <w:szCs w:val="19"/>
          <w:b w:val="1"/>
          <w:bCs w:val="1"/>
          <w:i w:val="1"/>
          <w:iCs w:val="1"/>
          <w:color w:val="auto"/>
        </w:rPr>
        <w:t>Certifications</w:t>
      </w:r>
    </w:p>
    <w:p>
      <w:pPr>
        <w:spacing w:after="0" w:line="382" w:lineRule="exact"/>
        <w:rPr>
          <w:sz w:val="20"/>
          <w:szCs w:val="20"/>
          <w:color w:val="auto"/>
        </w:rPr>
      </w:pPr>
    </w:p>
    <w:p>
      <w:pPr>
        <w:ind w:left="420" w:right="39" w:firstLine="636"/>
        <w:spacing w:after="0" w:line="331" w:lineRule="auto"/>
        <w:rPr>
          <w:sz w:val="20"/>
          <w:szCs w:val="20"/>
          <w:color w:val="auto"/>
        </w:rPr>
      </w:pPr>
      <w:r>
        <w:rPr>
          <w:rFonts w:ascii="Times New Roman" w:cs="Times New Roman" w:eastAsia="Times New Roman" w:hAnsi="Times New Roman"/>
          <w:sz w:val="19"/>
          <w:szCs w:val="19"/>
          <w:color w:val="auto"/>
        </w:rPr>
        <w:t xml:space="preserve">As a condition to employment, all employees will be required to certify their understanding of and intent to comply with this Policy. A form of certification is attached to this Policy as </w:t>
      </w:r>
      <w:r>
        <w:rPr>
          <w:rFonts w:ascii="Times New Roman" w:cs="Times New Roman" w:eastAsia="Times New Roman" w:hAnsi="Times New Roman"/>
          <w:sz w:val="19"/>
          <w:szCs w:val="19"/>
          <w:u w:val="single" w:color="auto"/>
          <w:color w:val="auto"/>
        </w:rPr>
        <w:t>Annex C</w:t>
      </w:r>
      <w:r>
        <w:rPr>
          <w:rFonts w:ascii="Times New Roman" w:cs="Times New Roman" w:eastAsia="Times New Roman" w:hAnsi="Times New Roman"/>
          <w:sz w:val="19"/>
          <w:szCs w:val="19"/>
          <w:color w:val="auto"/>
        </w:rPr>
        <w:t>. Members of Senior Management and other personnel may be required to certify compliance on an annual basis.</w:t>
      </w:r>
    </w:p>
    <w:p>
      <w:pPr>
        <w:spacing w:after="0" w:line="200" w:lineRule="exact"/>
        <w:rPr>
          <w:sz w:val="20"/>
          <w:szCs w:val="20"/>
          <w:color w:val="auto"/>
        </w:rPr>
      </w:pPr>
    </w:p>
    <w:p>
      <w:pPr>
        <w:spacing w:after="0" w:line="3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9"/>
          <w:szCs w:val="19"/>
          <w:color w:val="auto"/>
        </w:rPr>
        <w:t>11</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2025</w:t>
      </w:r>
    </w:p>
    <w:p>
      <w:pPr>
        <w:sectPr>
          <w:pgSz w:w="11900" w:h="16838" w:orient="portrait"/>
          <w:cols w:equalWidth="0" w:num="1">
            <w:col w:w="10059"/>
          </w:cols>
          <w:pgMar w:left="400" w:top="1415"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4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ectPr>
          <w:pgSz w:w="11900" w:h="16838" w:orient="portrait"/>
          <w:cols w:equalWidth="0" w:num="1">
            <w:col w:w="11100"/>
          </w:cols>
          <w:pgMar w:left="460" w:top="119" w:right="3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GMBH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SARL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NETHERLANDS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INTERNATIONAL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SECURITIES CORPORATION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GK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INDIA PRIVATE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SPAIN S.L.U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SINGAPORE PTE.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 TECHNOLOGIES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(BEIJING) TECHNOLOGIES, CO.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AB</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AKAMAI TECHNOLOGIES SOLUTIONS (INDIA) PRIVATE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INDIA NETWORKS PRIVATE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YUHAN HOESA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INTERNATIONAL AG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HONG KONG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POLAND SP. Z.O.O.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S.R.O.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TECNOLOGIAS E SERVICOS DO BRASIL LTDA.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APJ PTE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ISRAEL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CANADA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COLOMBIA S.A.S.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COSTA RICA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TEKNOLOGI HIZMETLERI LIMIITED SIRKETI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IRELAND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MALAYSIA SDN BHD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NEW ZEALAND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BELGIUM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DENMARK APS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LUXEMBOURG S.A.R.L.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 MEXICO TECHNOLOGIES, S. DE R.L. DE C.V.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ARGENTINA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AKAMAI TEKNOLOGI INDONESIA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IRELAND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ASAVIE TECHNOLOGIES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GUARDICORE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LINDIA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LINODE AUSTRALIA PTY.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LINODE CANADA ULC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LINODE HOSTING INDIA PRIVATE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LINODE INTERNATIONAL SERVICES,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LINODE LIMITED LIABILITY COMPANY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the United Kingdom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the 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the 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Massachusetts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Japan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India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Spain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Singapore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the Cayman Islands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in the People's Republic of China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Sweden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India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India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South Korea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Hong Kong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Poland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the Czech Republic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Brazil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Singapore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Israel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Colombia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Costa Rica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Turkey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Taiwan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New Zealand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Belgium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Denmark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Mexico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Argentina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Indonesia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Israel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Australia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India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New Jersey</w:t>
      </w:r>
    </w:p>
    <w:p>
      <w:pPr>
        <w:sectPr>
          <w:pgSz w:w="11900" w:h="16838" w:orient="portrait"/>
          <w:cols w:equalWidth="0" w:num="2">
            <w:col w:w="5880" w:space="720"/>
            <w:col w:w="4500"/>
          </w:cols>
          <w:pgMar w:left="460" w:top="119" w:right="339" w:bottom="1440" w:gutter="0" w:footer="0" w:header="0"/>
          <w:type w:val="continuous"/>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100"/>
          </w:cols>
          <w:pgMar w:left="46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LINODIANS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STORAGEOS,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STORAGEOS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 INSURANCE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NONAME GATE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NONAME GATE,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NONAME PUBLIC SECTOR,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NONAME GATE UK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NONAME GATE SG PRIVATE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United Kingdom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Vermont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Israel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in the United Kingdom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Singapore</w:t>
      </w:r>
    </w:p>
    <w:p>
      <w:pPr>
        <w:sectPr>
          <w:pgSz w:w="11900" w:h="16838" w:orient="portrait"/>
          <w:cols w:equalWidth="0" w:num="2">
            <w:col w:w="5880" w:space="720"/>
            <w:col w:w="4500"/>
          </w:cols>
          <w:pgMar w:left="460" w:top="119" w:right="3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S-8 (Nos. 333-91558, 333-159340, 333-174577, 333-188989, 333-204208, 333-218537, 333-231704, 333-258583, 333-263754, 333-266689, 333-273809 and 333-281386) of Akamai Technologies, Inc. of our report dated February 24,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ectPr>
          <w:pgSz w:w="11900" w:h="16838" w:orient="portrait"/>
          <w:cols w:equalWidth="0" w:num="1">
            <w:col w:w="11240"/>
          </w:cols>
          <w:pgMar w:left="320" w:top="11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Thomson Leighton, certify that:</w:t>
      </w:r>
    </w:p>
    <w:p>
      <w:pPr>
        <w:spacing w:after="0" w:line="244" w:lineRule="exact"/>
        <w:rPr>
          <w:sz w:val="20"/>
          <w:szCs w:val="20"/>
          <w:color w:val="auto"/>
        </w:rPr>
      </w:pPr>
    </w:p>
    <w:p>
      <w:pPr>
        <w:ind w:left="960" w:hanging="954"/>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Akamai Technologies, Inc.;</w:t>
      </w:r>
    </w:p>
    <w:p>
      <w:pPr>
        <w:spacing w:after="0" w:line="243" w:lineRule="exact"/>
        <w:rPr>
          <w:rFonts w:ascii="Times New Roman" w:cs="Times New Roman" w:eastAsia="Times New Roman" w:hAnsi="Times New Roman"/>
          <w:sz w:val="18"/>
          <w:szCs w:val="18"/>
          <w:color w:val="auto"/>
        </w:rPr>
      </w:pPr>
    </w:p>
    <w:p>
      <w:pPr>
        <w:jc w:val="both"/>
        <w:ind w:left="960" w:hanging="954"/>
        <w:spacing w:after="0" w:line="259"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960" w:right="240" w:hanging="954"/>
        <w:spacing w:after="0" w:line="274"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960" w:right="20" w:hanging="954"/>
        <w:spacing w:after="0" w:line="259"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920" w:right="120" w:hanging="960"/>
        <w:spacing w:after="0" w:line="253" w:lineRule="auto"/>
        <w:tabs>
          <w:tab w:leader="none" w:pos="191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920" w:right="440" w:hanging="960"/>
        <w:spacing w:after="0" w:line="245" w:lineRule="auto"/>
        <w:tabs>
          <w:tab w:leader="none" w:pos="190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920" w:right="80" w:hanging="960"/>
        <w:spacing w:after="0" w:line="245" w:lineRule="auto"/>
        <w:tabs>
          <w:tab w:leader="none" w:pos="191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8"/>
          <w:szCs w:val="18"/>
          <w:color w:val="auto"/>
        </w:rPr>
      </w:pPr>
    </w:p>
    <w:p>
      <w:pPr>
        <w:ind w:left="1920" w:right="180" w:hanging="960"/>
        <w:spacing w:after="0" w:line="248" w:lineRule="auto"/>
        <w:tabs>
          <w:tab w:leader="none" w:pos="190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3" w:lineRule="exact"/>
        <w:rPr>
          <w:rFonts w:ascii="Times New Roman" w:cs="Times New Roman" w:eastAsia="Times New Roman" w:hAnsi="Times New Roman"/>
          <w:sz w:val="18"/>
          <w:szCs w:val="18"/>
          <w:color w:val="auto"/>
        </w:rPr>
      </w:pPr>
    </w:p>
    <w:p>
      <w:pPr>
        <w:ind w:left="960" w:right="160" w:hanging="954"/>
        <w:spacing w:after="0" w:line="304" w:lineRule="auto"/>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Times New Roman" w:cs="Times New Roman" w:eastAsia="Times New Roman" w:hAnsi="Times New Roman"/>
          <w:sz w:val="17"/>
          <w:szCs w:val="17"/>
          <w:color w:val="auto"/>
        </w:rPr>
      </w:pPr>
    </w:p>
    <w:p>
      <w:pPr>
        <w:ind w:left="1920" w:right="20" w:hanging="960"/>
        <w:spacing w:after="0" w:line="272" w:lineRule="auto"/>
        <w:tabs>
          <w:tab w:leader="none" w:pos="191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20" w:right="300" w:hanging="960"/>
        <w:spacing w:after="0" w:line="251" w:lineRule="auto"/>
        <w:tabs>
          <w:tab w:leader="none" w:pos="190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80"/>
        <w:spacing w:after="0"/>
        <w:tabs>
          <w:tab w:leader="none" w:pos="616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7"/>
          <w:szCs w:val="17"/>
          <w:color w:val="auto"/>
        </w:rPr>
        <w:t>/s/ F. Thomson Leighton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32137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 Thomson Leighton, Chief Executive Officer</w:t>
      </w:r>
    </w:p>
    <w:p>
      <w:pPr>
        <w:sectPr>
          <w:pgSz w:w="11900" w:h="16838" w:orient="portrait"/>
          <w:cols w:equalWidth="0" w:num="1">
            <w:col w:w="11240"/>
          </w:cols>
          <w:pgMar w:left="320" w:top="11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McGowan, certify that:</w:t>
      </w:r>
    </w:p>
    <w:p>
      <w:pPr>
        <w:spacing w:after="0" w:line="244" w:lineRule="exact"/>
        <w:rPr>
          <w:sz w:val="20"/>
          <w:szCs w:val="20"/>
          <w:color w:val="auto"/>
        </w:rPr>
      </w:pPr>
    </w:p>
    <w:p>
      <w:pPr>
        <w:ind w:left="960" w:hanging="95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Akamai Technologies, Inc.;</w:t>
      </w:r>
    </w:p>
    <w:p>
      <w:pPr>
        <w:spacing w:after="0" w:line="243" w:lineRule="exact"/>
        <w:rPr>
          <w:rFonts w:ascii="Times New Roman" w:cs="Times New Roman" w:eastAsia="Times New Roman" w:hAnsi="Times New Roman"/>
          <w:sz w:val="18"/>
          <w:szCs w:val="18"/>
          <w:color w:val="auto"/>
        </w:rPr>
      </w:pPr>
    </w:p>
    <w:p>
      <w:pPr>
        <w:jc w:val="both"/>
        <w:ind w:left="960" w:hanging="954"/>
        <w:spacing w:after="0" w:line="259"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960" w:right="240" w:hanging="954"/>
        <w:spacing w:after="0" w:line="274"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960" w:right="20" w:hanging="954"/>
        <w:spacing w:after="0" w:line="259"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920" w:right="120" w:hanging="960"/>
        <w:spacing w:after="0" w:line="253" w:lineRule="auto"/>
        <w:tabs>
          <w:tab w:leader="none" w:pos="191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920" w:right="440" w:hanging="960"/>
        <w:spacing w:after="0" w:line="245" w:lineRule="auto"/>
        <w:tabs>
          <w:tab w:leader="none" w:pos="190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920" w:right="80" w:hanging="960"/>
        <w:spacing w:after="0" w:line="245" w:lineRule="auto"/>
        <w:tabs>
          <w:tab w:leader="none" w:pos="191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8"/>
          <w:szCs w:val="18"/>
          <w:color w:val="auto"/>
        </w:rPr>
      </w:pPr>
    </w:p>
    <w:p>
      <w:pPr>
        <w:ind w:left="1920" w:right="180" w:hanging="960"/>
        <w:spacing w:after="0" w:line="248" w:lineRule="auto"/>
        <w:tabs>
          <w:tab w:leader="none" w:pos="190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3" w:lineRule="exact"/>
        <w:rPr>
          <w:rFonts w:ascii="Times New Roman" w:cs="Times New Roman" w:eastAsia="Times New Roman" w:hAnsi="Times New Roman"/>
          <w:sz w:val="18"/>
          <w:szCs w:val="18"/>
          <w:color w:val="auto"/>
        </w:rPr>
      </w:pPr>
    </w:p>
    <w:p>
      <w:pPr>
        <w:ind w:left="960" w:right="160" w:hanging="954"/>
        <w:spacing w:after="0" w:line="304"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Times New Roman" w:cs="Times New Roman" w:eastAsia="Times New Roman" w:hAnsi="Times New Roman"/>
          <w:sz w:val="17"/>
          <w:szCs w:val="17"/>
          <w:color w:val="auto"/>
        </w:rPr>
      </w:pPr>
    </w:p>
    <w:p>
      <w:pPr>
        <w:ind w:left="1920" w:right="20" w:hanging="960"/>
        <w:spacing w:after="0" w:line="272" w:lineRule="auto"/>
        <w:tabs>
          <w:tab w:leader="none" w:pos="1911"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20" w:right="300" w:hanging="960"/>
        <w:spacing w:after="0" w:line="251" w:lineRule="auto"/>
        <w:tabs>
          <w:tab w:leader="none" w:pos="190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80"/>
        <w:spacing w:after="0"/>
        <w:tabs>
          <w:tab w:leader="none" w:pos="616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7"/>
          <w:szCs w:val="17"/>
          <w:color w:val="auto"/>
        </w:rPr>
        <w:t>/s/ Edward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32137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Edward McGowan, Executive Vice President, Chief Financial Officer</w:t>
      </w:r>
    </w:p>
    <w:p>
      <w:pPr>
        <w:ind w:left="618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11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4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Akamai Technologies, Inc. (the “Company”) for the period ended December 31, 2024 as filed with the Securities and Exchange Commission on the date hereof (the “Report”), the undersigned, F. Thomson Leighton, Chief Executive Officer of the Company, hereby certifies, pursuant to 18 U.S.C. Section 1350, that, to his knowledge:</w:t>
      </w:r>
    </w:p>
    <w:p>
      <w:pPr>
        <w:spacing w:after="0" w:line="204" w:lineRule="exact"/>
        <w:rPr>
          <w:sz w:val="20"/>
          <w:szCs w:val="20"/>
          <w:color w:val="auto"/>
        </w:rPr>
      </w:pPr>
    </w:p>
    <w:p>
      <w:pPr>
        <w:ind w:left="640" w:hanging="316"/>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20"/>
        <w:spacing w:after="0"/>
        <w:tabs>
          <w:tab w:leader="none" w:pos="700" w:val="left"/>
          <w:tab w:leader="none" w:pos="6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2025</w:t>
      </w:r>
      <w:r>
        <w:rPr>
          <w:sz w:val="20"/>
          <w:szCs w:val="20"/>
          <w:color w:val="auto"/>
        </w:rPr>
        <w:tab/>
      </w:r>
      <w:r>
        <w:rPr>
          <w:rFonts w:ascii="Times New Roman" w:cs="Times New Roman" w:eastAsia="Times New Roman" w:hAnsi="Times New Roman"/>
          <w:sz w:val="17"/>
          <w:szCs w:val="17"/>
          <w:color w:val="auto"/>
        </w:rPr>
        <w:t>/s/ F. Thomson Leighton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14605</wp:posOffset>
            </wp:positionV>
            <wp:extent cx="34328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3432810" cy="825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F. Thomson Leighton, Chief Executive Officer</w:t>
      </w:r>
    </w:p>
    <w:p>
      <w:pPr>
        <w:sectPr>
          <w:pgSz w:w="11900" w:h="16838" w:orient="portrait"/>
          <w:cols w:equalWidth="0" w:num="1">
            <w:col w:w="11240"/>
          </w:cols>
          <w:pgMar w:left="320" w:top="11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44"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Akamai Technologies, Inc. (the “Company”) for the period ended December 31, 2024 as filed with the Securities and Exchange Commission on the date hereof (the “Report”), the undersigned, Edward McGowan, Chief Financial Officer of the Company, hereby certifies, pursuant to 18 U.S.C. Section 1350, that, to his knowledge:</w:t>
      </w:r>
    </w:p>
    <w:p>
      <w:pPr>
        <w:spacing w:after="0" w:line="204" w:lineRule="exact"/>
        <w:rPr>
          <w:sz w:val="20"/>
          <w:szCs w:val="20"/>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20"/>
        <w:spacing w:after="0"/>
        <w:tabs>
          <w:tab w:leader="none" w:pos="720" w:val="left"/>
          <w:tab w:leader="none" w:pos="6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2025</w:t>
      </w:r>
      <w:r>
        <w:rPr>
          <w:sz w:val="20"/>
          <w:szCs w:val="20"/>
          <w:color w:val="auto"/>
        </w:rPr>
        <w:tab/>
      </w:r>
      <w:r>
        <w:rPr>
          <w:rFonts w:ascii="Times New Roman" w:cs="Times New Roman" w:eastAsia="Times New Roman" w:hAnsi="Times New Roman"/>
          <w:sz w:val="17"/>
          <w:szCs w:val="17"/>
          <w:color w:val="auto"/>
        </w:rPr>
        <w:t>/s/ Edward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14605</wp:posOffset>
            </wp:positionV>
            <wp:extent cx="3416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18"/>
          <w:szCs w:val="18"/>
          <w:color w:val="auto"/>
        </w:rPr>
        <w:t>Edward McGowan, Executive Vice President, Chief Financial Officer</w:t>
      </w:r>
    </w:p>
    <w:p>
      <w:pPr>
        <w:ind w:left="6120"/>
        <w:spacing w:after="0"/>
        <w:rPr>
          <w:sz w:val="20"/>
          <w:szCs w:val="20"/>
          <w:color w:val="auto"/>
        </w:rPr>
      </w:pPr>
      <w:r>
        <w:rPr>
          <w:rFonts w:ascii="Times New Roman" w:cs="Times New Roman" w:eastAsia="Times New Roman" w:hAnsi="Times New Roman"/>
          <w:sz w:val="18"/>
          <w:szCs w:val="18"/>
          <w:color w:val="auto"/>
        </w:rPr>
        <w:t>and Treasurer</w:t>
      </w:r>
    </w:p>
    <w:p>
      <w:pPr>
        <w:spacing w:after="0" w:line="200" w:lineRule="exact"/>
        <w:rPr>
          <w:sz w:val="20"/>
          <w:szCs w:val="20"/>
          <w:color w:val="auto"/>
        </w:rPr>
      </w:pPr>
    </w:p>
    <w:p>
      <w:pPr>
        <w:spacing w:after="0" w:line="368" w:lineRule="exact"/>
        <w:rPr>
          <w:sz w:val="20"/>
          <w:szCs w:val="20"/>
          <w:color w:val="auto"/>
        </w:rPr>
      </w:pPr>
    </w:p>
    <w:p>
      <w:pPr>
        <w:ind w:right="80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Akamai Technologies, Inc. and will be retained by Akamai Technologies, Inc. and furnished to the Securities and Exchange Commission or its staff upon request.</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8"/>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1">
    <w:nsid w:val="579478FE"/>
    <w:multiLevelType w:val="hybridMultilevel"/>
    <w:lvl w:ilvl="0">
      <w:lvlJc w:val="left"/>
      <w:lvlText w:val="%1"/>
      <w:numFmt w:val="decimal"/>
      <w:start w:val="104"/>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decimal"/>
      <w:start w:val="3"/>
    </w:lvl>
    <w:lvl w:ilvl="1">
      <w:lvlJc w:val="left"/>
      <w:lvlText w:val="(%2)"/>
      <w:numFmt w:val="lowerLetter"/>
      <w:start w:val="1"/>
    </w:lvl>
  </w:abstractNum>
  <w:abstractNum w:abstractNumId="26">
    <w:nsid w:val="75C6C33A"/>
    <w:multiLevelType w:val="hybridMultilevel"/>
    <w:lvl w:ilvl="0">
      <w:lvlJc w:val="left"/>
      <w:lvlText w:val="%1"/>
      <w:numFmt w:val="decimal"/>
      <w:start w:val="1"/>
    </w:lvl>
    <w:lvl w:ilvl="1">
      <w:lvlJc w:val="left"/>
      <w:lvlText w:val="(%2)"/>
      <w:numFmt w:val="lowerLetter"/>
      <w:start w:val="4"/>
    </w:lvl>
  </w:abstractNum>
  <w:abstractNum w:abstractNumId="27">
    <w:nsid w:val="12E685FB"/>
    <w:multiLevelType w:val="hybridMultilevel"/>
    <w:lvl w:ilvl="0">
      <w:lvlJc w:val="left"/>
      <w:lvlText w:val="%1."/>
      <w:numFmt w:val="decimal"/>
      <w:start w:val="4"/>
    </w:lvl>
    <w:lvl w:ilvl="1">
      <w:lvlJc w:val="left"/>
      <w:lvlText w:val="(%2)"/>
      <w:numFmt w:val="lowerLetter"/>
      <w:start w:val="1"/>
    </w:lvl>
  </w:abstractNum>
  <w:abstractNum w:abstractNumId="28">
    <w:nsid w:val="70C6A5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9">
    <w:nsid w:val="520EEDD1"/>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0">
    <w:nsid w:val="374A3FE6"/>
    <w:multiLevelType w:val="hybridMultilevel"/>
    <w:lvl w:ilvl="0">
      <w:lvlJc w:val="left"/>
      <w:lvlText w:val="(%1)"/>
      <w:numFmt w:val="decimal"/>
      <w:start w:val="1"/>
    </w:lvl>
    <w:lvl w:ilvl="1">
      <w:lvlJc w:val="left"/>
      <w:lvlText w:val="(%2)"/>
      <w:numFmt w:val="lowerLetter"/>
      <w:start w:val="2"/>
    </w:lvl>
    <w:lvl w:ilvl="2">
      <w:lvlJc w:val="left"/>
      <w:lvlText w:val="(%3)"/>
      <w:numFmt w:val="decimal"/>
      <w:start w:val="3"/>
    </w:lvl>
  </w:abstractNum>
  <w:abstractNum w:abstractNumId="31">
    <w:nsid w:val="4F4EF0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2">
    <w:nsid w:val="23F9C1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3">
    <w:nsid w:val="649BB77C"/>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34">
    <w:nsid w:val="275AC794"/>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35">
    <w:nsid w:val="39386575"/>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36">
    <w:nsid w:val="1CF10FD8"/>
    <w:multiLevelType w:val="hybridMultilevel"/>
    <w:lvl w:ilvl="0">
      <w:lvlJc w:val="left"/>
      <w:lvlText w:val="(%1)"/>
      <w:numFmt w:val="lowerLetter"/>
      <w:start w:val="35"/>
    </w:lvl>
    <w:lvl w:ilvl="1">
      <w:lvlJc w:val="left"/>
      <w:lvlText w:val="(%2)"/>
      <w:numFmt w:val="lowerLetter"/>
      <w:start w:val="7"/>
    </w:lvl>
    <w:lvl w:ilvl="2">
      <w:lvlJc w:val="left"/>
      <w:lvlText w:val="(%3)"/>
      <w:numFmt w:val="decimal"/>
      <w:start w:val="5"/>
    </w:lvl>
  </w:abstractNum>
  <w:abstractNum w:abstractNumId="37">
    <w:nsid w:val="180115BE"/>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8">
    <w:nsid w:val="235BA86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39">
    <w:nsid w:val="47398C8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0">
    <w:nsid w:val="354FE9F9"/>
    <w:multiLevelType w:val="hybridMultilevel"/>
    <w:lvl w:ilvl="0">
      <w:lvlJc w:val="left"/>
      <w:lvlText w:val="%1"/>
      <w:numFmt w:val="decimal"/>
      <w:start w:val="1"/>
    </w:lvl>
    <w:lvl w:ilvl="1">
      <w:lvlJc w:val="left"/>
      <w:lvlText w:val="(%2)"/>
      <w:numFmt w:val="decimal"/>
      <w:start w:val="2"/>
    </w:lvl>
  </w:abstractNum>
  <w:abstractNum w:abstractNumId="41">
    <w:nsid w:val="15B5AF5C"/>
    <w:multiLevelType w:val="hybridMultilevel"/>
    <w:lvl w:ilvl="0">
      <w:lvlJc w:val="left"/>
      <w:lvlText w:val="%1."/>
      <w:numFmt w:val="decimal"/>
      <w:start w:val="8"/>
    </w:lvl>
    <w:lvl w:ilvl="1">
      <w:lvlJc w:val="left"/>
      <w:lvlText w:val="%2"/>
      <w:numFmt w:val="decimal"/>
      <w:start w:val="1"/>
    </w:lvl>
  </w:abstractNum>
  <w:abstractNum w:abstractNumId="42">
    <w:nsid w:val="741226BB"/>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43">
    <w:nsid w:val="D34B6A8"/>
    <w:multiLevelType w:val="hybridMultilevel"/>
    <w:lvl w:ilvl="0">
      <w:lvlJc w:val="left"/>
      <w:lvlText w:val="(%1)"/>
      <w:numFmt w:val="lowerRoman"/>
      <w:start w:val="1"/>
    </w:lvl>
    <w:lvl w:ilvl="1">
      <w:lvlJc w:val="left"/>
      <w:lvlText w:val="(%2)"/>
      <w:numFmt w:val="upperLetter"/>
      <w:start w:val="1"/>
    </w:lvl>
  </w:abstractNum>
  <w:abstractNum w:abstractNumId="44">
    <w:nsid w:val="10233C99"/>
    <w:multiLevelType w:val="hybridMultilevel"/>
    <w:lvl w:ilvl="0">
      <w:lvlJc w:val="left"/>
      <w:lvlText w:val="(%1)"/>
      <w:numFmt w:val="upperLetter"/>
      <w:start w:val="23"/>
    </w:lvl>
    <w:lvl w:ilvl="1">
      <w:lvlJc w:val="left"/>
      <w:lvlText w:val="%2"/>
      <w:numFmt w:val="decimal"/>
      <w:start w:val="1"/>
    </w:lvl>
    <w:lvl w:ilvl="2">
      <w:lvlJc w:val="left"/>
      <w:lvlText w:val="(%3)"/>
      <w:numFmt w:val="lowerRoman"/>
      <w:start w:val="1"/>
    </w:lvl>
    <w:lvl w:ilvl="3">
      <w:lvlJc w:val="left"/>
      <w:lvlText w:val="(%4)"/>
      <w:numFmt w:val="upperLetter"/>
      <w:start w:val="5"/>
    </w:lvl>
  </w:abstractNum>
  <w:abstractNum w:abstractNumId="45">
    <w:nsid w:val="3F6AB60F"/>
    <w:multiLevelType w:val="hybridMultilevel"/>
    <w:lvl w:ilvl="0">
      <w:lvlJc w:val="left"/>
      <w:lvlText w:val="(%1)"/>
      <w:numFmt w:val="upperLetter"/>
      <w:start w:val="2"/>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46">
    <w:nsid w:val="61574095"/>
    <w:multiLevelType w:val="hybridMultilevel"/>
    <w:lvl w:ilvl="0">
      <w:lvlJc w:val="left"/>
      <w:lvlText w:val="(%1)"/>
      <w:numFmt w:val="lowerRoman"/>
      <w:start w:val="3"/>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lvl w:ilvl="1">
      <w:lvlJc w:val="left"/>
      <w:lvlText w:val="(%2)"/>
      <w:numFmt w:val="lowerLetter"/>
      <w:start w:val="6"/>
    </w:lvl>
  </w:abstractNum>
  <w:abstractNum w:abstractNumId="49">
    <w:nsid w:val="579BE4F1"/>
    <w:multiLevelType w:val="hybridMultilevel"/>
    <w:lvl w:ilvl="0">
      <w:lvlJc w:val="left"/>
      <w:lvlText w:val="(%1)"/>
      <w:numFmt w:val="lowerLetter"/>
      <w:start w:val="35"/>
    </w:lvl>
    <w:lvl w:ilvl="1">
      <w:lvlJc w:val="left"/>
      <w:lvlText w:val="(%2)"/>
      <w:numFmt w:val="lowerLetter"/>
      <w:start w:val="8"/>
    </w:lvl>
  </w:abstractNum>
  <w:abstractNum w:abstractNumId="50">
    <w:nsid w:val="310C50B3"/>
    <w:multiLevelType w:val="hybridMultilevel"/>
    <w:lvl w:ilvl="0">
      <w:lvlJc w:val="left"/>
      <w:lvlText w:val="%1"/>
      <w:numFmt w:val="decimal"/>
      <w:start w:val="11"/>
    </w:lvl>
    <w:lvl w:ilvl="1">
      <w:lvlJc w:val="left"/>
      <w:lvlText w:val="(%2)"/>
      <w:numFmt w:val="lowerLetter"/>
      <w:start w:val="1"/>
    </w:lvl>
  </w:abstractNum>
  <w:abstractNum w:abstractNumId="51">
    <w:nsid w:val="5FF87E05"/>
    <w:multiLevelType w:val="hybridMultilevel"/>
    <w:lvl w:ilvl="0">
      <w:lvlJc w:val="left"/>
      <w:lvlText w:val="%1"/>
      <w:numFmt w:val="upperLetter"/>
      <w:start w:val="1"/>
    </w:lvl>
    <w:lvl w:ilvl="1">
      <w:lvlJc w:val="left"/>
      <w:lvlText w:val="(%2)"/>
      <w:numFmt w:val="lowerLetter"/>
      <w:start w:val="3"/>
    </w:lvl>
  </w:abstractNum>
  <w:abstractNum w:abstractNumId="52">
    <w:nsid w:val="2F305DEF"/>
    <w:multiLevelType w:val="hybridMultilevel"/>
    <w:lvl w:ilvl="0">
      <w:lvlJc w:val="left"/>
      <w:lvlText w:val="(%1)"/>
      <w:numFmt w:val="upperLetter"/>
      <w:start w:val="1"/>
    </w:lvl>
    <w:lvl w:ilvl="1">
      <w:lvlJc w:val="left"/>
      <w:lvlText w:val="(%2)"/>
      <w:numFmt w:val="lowerLetter"/>
      <w:start w:val="5"/>
    </w:lvl>
  </w:abstractNum>
  <w:abstractNum w:abstractNumId="53">
    <w:nsid w:val="25A70BF7"/>
    <w:multiLevelType w:val="hybridMultilevel"/>
    <w:lvl w:ilvl="0">
      <w:lvlJc w:val="left"/>
      <w:lvlText w:val="(%1)"/>
      <w:numFmt w:val="lowerRoman"/>
      <w:start w:val="1"/>
    </w:lvl>
  </w:abstractNum>
  <w:abstractNum w:abstractNumId="54">
    <w:nsid w:val="1DBABF00"/>
    <w:multiLevelType w:val="hybridMultilevel"/>
    <w:lvl w:ilvl="0">
      <w:lvlJc w:val="left"/>
      <w:lvlText w:val="%1."/>
      <w:numFmt w:val="upperLetter"/>
      <w:start w:val="9"/>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upperLetter"/>
      <w:start w:val="35"/>
    </w:lvl>
    <w:lvl w:ilvl="1">
      <w:lvlJc w:val="left"/>
      <w:lvlText w:val="%2."/>
      <w:numFmt w:val="upperLetter"/>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upperLetter"/>
      <w:start w:val="3"/>
    </w:lvl>
  </w:abstractNum>
  <w:abstractNum w:abstractNumId="59">
    <w:nsid w:val="100F8FCA"/>
    <w:multiLevelType w:val="hybridMultilevel"/>
    <w:lvl w:ilvl="0">
      <w:lvlJc w:val="left"/>
      <w:lvlText w:val="%1."/>
      <w:numFmt w:val="upperLetter"/>
      <w:start w:val="61"/>
    </w:lvl>
  </w:abstractNum>
  <w:abstractNum w:abstractNumId="60">
    <w:nsid w:val="6590700B"/>
    <w:multiLevelType w:val="hybridMultilevel"/>
    <w:lvl w:ilvl="0">
      <w:lvlJc w:val="left"/>
      <w:lvlText w:val="%1."/>
      <w:numFmt w:val="upperLetter"/>
      <w:start w:val="2"/>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2"/>
    </w:lvl>
  </w:abstractNum>
  <w:abstractNum w:abstractNumId="65">
    <w:nsid w:val="6B94764"/>
    <w:multiLevelType w:val="hybridMultilevel"/>
    <w:lvl w:ilvl="0">
      <w:lvlJc w:val="left"/>
      <w:lvlText w:val="%1."/>
      <w:numFmt w:val="decimal"/>
      <w:start w:val="3"/>
    </w:lvl>
  </w:abstractNum>
  <w:abstractNum w:abstractNumId="66">
    <w:nsid w:val="42C296BD"/>
    <w:multiLevelType w:val="hybridMultilevel"/>
    <w:lvl w:ilvl="0">
      <w:lvlJc w:val="left"/>
      <w:lvlText w:val="(%1)"/>
      <w:numFmt w:val="lowerLetter"/>
      <w:start w:val="1"/>
    </w:lvl>
    <w:lvl w:ilvl="1">
      <w:lvlJc w:val="left"/>
      <w:lvlText w:val="(%2)"/>
      <w:numFmt w:val="lowerRoman"/>
      <w:start w:val="1"/>
    </w:lvl>
  </w:abstractNum>
  <w:abstractNum w:abstractNumId="67">
    <w:nsid w:val="168E121F"/>
    <w:multiLevelType w:val="hybridMultilevel"/>
    <w:lvl w:ilvl="0">
      <w:lvlJc w:val="left"/>
      <w:lvlText w:val="%1"/>
      <w:numFmt w:val="lowerLetter"/>
      <w:start w:val="1"/>
    </w:lvl>
    <w:lvl w:ilvl="1">
      <w:lvlJc w:val="left"/>
      <w:lvlText w:val="(%2)"/>
      <w:numFmt w:val="lowerLetter"/>
      <w:start w:val="61"/>
    </w:lvl>
  </w:abstractNum>
  <w:abstractNum w:abstractNumId="68">
    <w:nsid w:val="1EBA5D23"/>
    <w:multiLevelType w:val="hybridMultilevel"/>
    <w:lvl w:ilvl="0">
      <w:lvlJc w:val="left"/>
      <w:lvlText w:val="(%1)"/>
      <w:numFmt w:val="lowerLetter"/>
      <w:start w:val="2"/>
    </w:lvl>
    <w:lvl w:ilvl="1">
      <w:lvlJc w:val="left"/>
      <w:lvlText w:val="%2"/>
      <w:numFmt w:val="lowerLetter"/>
      <w:start w:val="1"/>
    </w:lvl>
  </w:abstractNum>
  <w:abstractNum w:abstractNumId="69">
    <w:nsid w:val="661E3F1E"/>
    <w:multiLevelType w:val="hybridMultilevel"/>
    <w:lvl w:ilvl="0">
      <w:lvlJc w:val="left"/>
      <w:lvlText w:val="%1"/>
      <w:numFmt w:val="lowerLetter"/>
      <w:start w:val="1"/>
    </w:lvl>
    <w:lvl w:ilvl="1">
      <w:lvlJc w:val="left"/>
      <w:lvlText w:val="(%2)"/>
      <w:numFmt w:val="lowerRoman"/>
      <w:start w:val="1"/>
    </w:lvl>
  </w:abstractNum>
  <w:abstractNum w:abstractNumId="70">
    <w:nsid w:val="5DC79EA8"/>
    <w:multiLevelType w:val="hybridMultilevel"/>
    <w:lvl w:ilvl="0">
      <w:lvlJc w:val="left"/>
      <w:lvlText w:val="(%1)"/>
      <w:numFmt w:val="lowerLetter"/>
      <w:start w:val="6"/>
    </w:lvl>
    <w:lvl w:ilvl="1">
      <w:lvlJc w:val="left"/>
      <w:lvlText w:val="%2"/>
      <w:numFmt w:val="lowerRoman"/>
      <w:start w:val="1"/>
    </w:lvl>
  </w:abstractNum>
  <w:abstractNum w:abstractNumId="71">
    <w:nsid w:val="540A471C"/>
    <w:multiLevelType w:val="hybridMultilevel"/>
    <w:lvl w:ilvl="0">
      <w:lvlJc w:val="left"/>
      <w:lvlText w:val="1"/>
      <w:numFmt w:val="bullet"/>
      <w:start w:val="1"/>
    </w:lvl>
  </w:abstractNum>
  <w:abstractNum w:abstractNumId="72">
    <w:nsid w:val="7BD3EE7B"/>
    <w:multiLevelType w:val="hybridMultilevel"/>
    <w:lvl w:ilvl="0">
      <w:lvlJc w:val="left"/>
      <w:lvlText w:val="%1."/>
      <w:numFmt w:val="upperLetter"/>
      <w:start w:val="22"/>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31"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07" Type="http://schemas.openxmlformats.org/officeDocument/2006/relationships/hyperlink" Target="https://www.sec.gov/Archives/edgar/data/1086222/000119312524140697/d804411dex31.htm" TargetMode="External"/><Relationship Id="rId108" Type="http://schemas.openxmlformats.org/officeDocument/2006/relationships/hyperlink" Target="https://www.sec.gov/Archives/edgar/data/1086222/000108622222000278/ex31akamai-bylaws.htm" TargetMode="External"/><Relationship Id="rId109" Type="http://schemas.openxmlformats.org/officeDocument/2006/relationships/hyperlink" Target="https://www.sec.gov/Archives/edgar/data/1086222/000119312523237687/d508328dex31.htm" TargetMode="External"/><Relationship Id="rId110" Type="http://schemas.openxmlformats.org/officeDocument/2006/relationships/hyperlink" Target="https://www.sec.gov/Archives/edgar/data/1086222/000095013599004713/0000950135-99-004713.txt" TargetMode="External"/><Relationship Id="rId111" Type="http://schemas.openxmlformats.org/officeDocument/2006/relationships/hyperlink" Target="https://www.sec.gov/Archives/edgar/data/1086222/000108622218000117/exhibit41indenture2018.htm" TargetMode="External"/><Relationship Id="rId112" Type="http://schemas.openxmlformats.org/officeDocument/2006/relationships/hyperlink" Target="https://www.sec.gov/Archives/edgar/data/1086222/000119312519223514/d794476dex41.htm" TargetMode="External"/><Relationship Id="rId113" Type="http://schemas.openxmlformats.org/officeDocument/2006/relationships/hyperlink" Target="https://www.sec.gov/Archives/edgar/data/1086222/000119312523215943/d525419dex41.htm" TargetMode="External"/><Relationship Id="rId114" Type="http://schemas.openxmlformats.org/officeDocument/2006/relationships/hyperlink" Target="https://www.sec.gov/Archives/edgar/data/1086222/000108622221000313/a41firstsupplementalindent.htm" TargetMode="External"/><Relationship Id="rId115" Type="http://schemas.openxmlformats.org/officeDocument/2006/relationships/hyperlink" Target="https://www.sec.gov/Archives/edgar/data/1086222/000108622221000313/a42firstsupplementalindent.htm" TargetMode="External"/><Relationship Id="rId116" Type="http://schemas.openxmlformats.org/officeDocument/2006/relationships/hyperlink" Target="https://www.sec.gov/Archives/edgar/data/1086222/000108622220000045/exhibit4410k2019.htm" TargetMode="External"/><Relationship Id="rId117" Type="http://schemas.openxmlformats.org/officeDocument/2006/relationships/hyperlink" Target="https://www.sec.gov/Archives/edgar/data/1086222/000095013506001650/b58056atexv10w5.txt" TargetMode="External"/><Relationship Id="rId118" Type="http://schemas.openxmlformats.org/officeDocument/2006/relationships/hyperlink" Target="https://www.sec.gov/Archives/edgar/data/1086222/000119312508111487/dex1046.htm" TargetMode="External"/><Relationship Id="rId119" Type="http://schemas.openxmlformats.org/officeDocument/2006/relationships/hyperlink" Target="https://www.sec.gov/Archives/edgar/data/1086222/000119312511147774/dex991.htm" TargetMode="External"/><Relationship Id="rId120" Type="http://schemas.openxmlformats.org/officeDocument/2006/relationships/hyperlink" Target="https://www.sec.gov/Archives/edgar/data/1086222/000108622222000144/exhibit991march212022.htm" TargetMode="External"/><Relationship Id="rId121" Type="http://schemas.openxmlformats.org/officeDocument/2006/relationships/hyperlink" Target="https://www.sec.gov/Archives/edgar/data/1086222/000108622219000136/akam10q3312019ex1039.htm" TargetMode="External"/><Relationship Id="rId122" Type="http://schemas.openxmlformats.org/officeDocument/2006/relationships/hyperlink" Target="https://www.sec.gov/Archives/edgar/data/1086222/000108622223000078/exhibit109_10k2022.htm" TargetMode="External"/><Relationship Id="rId123" Type="http://schemas.openxmlformats.org/officeDocument/2006/relationships/hyperlink" Target="https://www.sec.gov/Archives/edgar/data/1086222/000154256713000027/akam10q63013ex104.htm" TargetMode="External"/><Relationship Id="rId124" Type="http://schemas.openxmlformats.org/officeDocument/2006/relationships/hyperlink" Target="https://www.sec.gov/Archives/edgar/data/1086222/000154256713000027/akam10q63013ex105.htm" TargetMode="External"/><Relationship Id="rId125" Type="http://schemas.openxmlformats.org/officeDocument/2006/relationships/hyperlink" Target="https://www.sec.gov/Archives/edgar/data/1086222/000108622223000078/exhibit1012_10k2022.htm" TargetMode="External"/><Relationship Id="rId126" Type="http://schemas.openxmlformats.org/officeDocument/2006/relationships/hyperlink" Target="https://www.sec.gov/Archives/edgar/data/1086222/000108622224000216/akam10q9302024ex101.htm" TargetMode="External"/><Relationship Id="rId127" Type="http://schemas.openxmlformats.org/officeDocument/2006/relationships/hyperlink" Target="https://www.sec.gov/Archives/edgar/data/1086222/000108622223000072/formofexecutivebonusplan20.htm" TargetMode="External"/><Relationship Id="rId128" Type="http://schemas.openxmlformats.org/officeDocument/2006/relationships/hyperlink" Target="https://www.sec.gov/Archives/edgar/data/1086222/000108622219000226/exhibit101executivesev.htm" TargetMode="External"/><Relationship Id="rId129" Type="http://schemas.openxmlformats.org/officeDocument/2006/relationships/hyperlink" Target="https://www.sec.gov/Archives/edgar/data/1086222/000108622222000054/exhibit991february18th.htm" TargetMode="External"/><Relationship Id="rId130" Type="http://schemas.openxmlformats.org/officeDocument/2006/relationships/hyperlink" Target="https://www.sec.gov/Archives/edgar/data/1086222/000108622224000216/akam10q9302024ex102.htm" TargetMode="External"/><Relationship Id="rId132" Type="http://schemas.openxmlformats.org/officeDocument/2006/relationships/hyperlink" Target="https://www.sec.gov/Archives/edgar/data/1086222/000126643213000021/exhibit1028.htm" TargetMode="External"/><Relationship Id="rId133" Type="http://schemas.openxmlformats.org/officeDocument/2006/relationships/hyperlink" Target="https://www.sec.gov/Archives/edgar/data/1086222/000108622215000184/exhibit993leightonagreemen.htm" TargetMode="External"/><Relationship Id="rId134" Type="http://schemas.openxmlformats.org/officeDocument/2006/relationships/hyperlink" Target="https://www.sec.gov/Archives/edgar/data/1086222/000108622216000396/exhibit104711kcakamailease.htm" TargetMode="External"/><Relationship Id="rId135" Type="http://schemas.openxmlformats.org/officeDocument/2006/relationships/hyperlink" Target="https://www.sec.gov/Archives/edgar/data/1086222/000108622216000396/exhibit1048musttakeagreeme.htm" TargetMode="External"/><Relationship Id="rId136" Type="http://schemas.openxmlformats.org/officeDocument/2006/relationships/hyperlink" Target="https://www.sec.gov/Archives/edgar/data/1086222/000108622218000052/exhibit1019-150broadwaylea.htm" TargetMode="External"/><Relationship Id="rId137" Type="http://schemas.openxmlformats.org/officeDocument/2006/relationships/hyperlink" Target="https://www.sec.gov/Archives/edgar/data/1086222/000095013599004906/0000950135-99-004906.txt" TargetMode="External"/><Relationship Id="rId138" Type="http://schemas.openxmlformats.org/officeDocument/2006/relationships/hyperlink" Target="https://www.sec.gov/Archives/edgar/data/1086222/000119312522292004/d271055dex101.htm" TargetMode="External"/><Relationship Id="rId139" Type="http://schemas.openxmlformats.org/officeDocument/2006/relationships/hyperlink" Target="https://www.sec.gov/Archives/edgar/data/1086222/000108622218000117/exhibit101bondhedgeconfirm.htm" TargetMode="External"/><Relationship Id="rId140" Type="http://schemas.openxmlformats.org/officeDocument/2006/relationships/hyperlink" Target="https://www.sec.gov/Archives/edgar/data/1086222/000108622218000117/exhibit102warrantconfirmat.htm" TargetMode="External"/><Relationship Id="rId141" Type="http://schemas.openxmlformats.org/officeDocument/2006/relationships/hyperlink" Target="https://www.sec.gov/Archives/edgar/data/1086222/000119312519223514/d794476dex101.htm" TargetMode="External"/><Relationship Id="rId142" Type="http://schemas.openxmlformats.org/officeDocument/2006/relationships/hyperlink" Target="https://www.sec.gov/Archives/edgar/data/1086222/000119312519223514/d794476dex102.htm" TargetMode="External"/><Relationship Id="rId143" Type="http://schemas.openxmlformats.org/officeDocument/2006/relationships/hyperlink" Target="https://www.sec.gov/Archives/edgar/data/1086222/000119312523215943/d525419dex101.htm" TargetMode="External"/><Relationship Id="rId144" Type="http://schemas.openxmlformats.org/officeDocument/2006/relationships/hyperlink" Target="https://www.sec.gov/Archives/edgar/data/1086222/000119312523215943/d525419dex102.htm" TargetMode="External"/><Relationship Id="rId145" Type="http://schemas.openxmlformats.org/officeDocument/2006/relationships/hyperlink" Target="https://www.sec.gov/Archives/edgar/data/1086222/000108622224000040/exhibit97_10k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2025-02-24T16:42:23Z</dcterms:created>
  <dcterms:modified xsi:type="dcterms:W3CDTF">2025-02-24T16:42:23Z</dcterms:modified>
</cp:coreProperties>
</file>