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69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AKAMAI TECHNOLOGIES,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3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83.49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109.646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December 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6, 2022, Ms. Howell was granted 394 RSUs. Such RSUs vest over three years as follows: 1/3 on the first anniversary of the date of grant with the remaining 2/3 vesting in equal installments of 8-1/3% each quarter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2025-12-08T21:32:55Z</dcterms:created>
  <dcterms:modified xsi:type="dcterms:W3CDTF">2025-12-08T21:32:55Z</dcterms:modified>
</cp:coreProperties>
</file>