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McGowan Edward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9,008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56,885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52,529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2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124.961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shares beneficially owned includes 29,800 shares of which the Reporting Person has elected to defer receipt pursuant to the Akamai Technologies, Inc. Amended and Restated U.S. Non-Qualified Deferred Compensation Plan.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6, 2023, the Reporting Person was granted 27,021 RSUs. Such RSUs vest over three years in equal installments on the first, second and third anniversaries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894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2026-03-06T17:32:12Z</dcterms:created>
  <dcterms:modified xsi:type="dcterms:W3CDTF">2026-03-06T17:32:12Z</dcterms:modified>
</cp:coreProperties>
</file>