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WASHINGTON, D.C. 20549</w:t>
      </w:r>
    </w:p>
    <w:p>
      <w:pPr>
        <w:spacing w:after="0" w:line="362"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4"/>
          <w:szCs w:val="24"/>
          <w:color w:val="auto"/>
        </w:rPr>
      </w:pPr>
    </w:p>
    <w:p>
      <w:pPr>
        <w:ind w:left="3320"/>
        <w:spacing w:after="0"/>
        <w:rPr>
          <w:sz w:val="20"/>
          <w:szCs w:val="20"/>
          <w:color w:val="auto"/>
        </w:rPr>
      </w:pPr>
      <w:r>
        <w:rPr>
          <w:rFonts w:ascii="Courier New" w:cs="Courier New" w:eastAsia="Courier New" w:hAnsi="Courier New"/>
          <w:sz w:val="15"/>
          <w:szCs w:val="15"/>
          <w:color w:val="auto"/>
        </w:rPr>
        <w:t>FORM 8-K</w:t>
      </w:r>
    </w:p>
    <w:p>
      <w:pPr>
        <w:spacing w:after="0" w:line="362"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CURRENT REPORT</w:t>
      </w:r>
    </w:p>
    <w:p>
      <w:pPr>
        <w:spacing w:after="0" w:line="8"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8"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 of report: June 12, 2000</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 of earliest event reported)</w:t>
      </w:r>
    </w:p>
    <w:p>
      <w:pPr>
        <w:spacing w:after="0" w:line="200" w:lineRule="exact"/>
        <w:rPr>
          <w:sz w:val="24"/>
          <w:szCs w:val="24"/>
          <w:color w:val="auto"/>
        </w:rPr>
      </w:pPr>
    </w:p>
    <w:p>
      <w:pPr>
        <w:spacing w:after="0" w:line="340"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5"/>
          <w:szCs w:val="15"/>
          <w:color w:val="auto"/>
        </w:rPr>
        <w:t>AKAMAI TECHNOLOGIES, INC.</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(Exact Name of Registrant as Specified in Charter)</w:t>
      </w:r>
    </w:p>
    <w:p>
      <w:pPr>
        <w:sectPr>
          <w:pgSz w:w="11900" w:h="16838" w:orient="portrait"/>
          <w:cols w:equalWidth="0" w:num="1">
            <w:col w:w="10219"/>
          </w:cols>
          <w:pgMar w:left="240" w:top="236"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200"/>
        <w:spacing w:after="0"/>
        <w:rPr>
          <w:sz w:val="20"/>
          <w:szCs w:val="20"/>
          <w:color w:val="auto"/>
        </w:rPr>
      </w:pPr>
      <w:r>
        <w:rPr>
          <w:rFonts w:ascii="Courier New" w:cs="Courier New" w:eastAsia="Courier New" w:hAnsi="Courier New"/>
          <w:sz w:val="15"/>
          <w:szCs w:val="15"/>
          <w:color w:val="auto"/>
        </w:rPr>
        <w:t>Delaware</w:t>
      </w:r>
    </w:p>
    <w:p>
      <w:pPr>
        <w:spacing w:after="0" w:line="8" w:lineRule="exact"/>
        <w:rPr>
          <w:sz w:val="24"/>
          <w:szCs w:val="24"/>
          <w:color w:val="auto"/>
        </w:rPr>
      </w:pPr>
    </w:p>
    <w:p>
      <w:pPr>
        <w:jc w:val="center"/>
        <w:ind w:right="200"/>
        <w:spacing w:after="0"/>
        <w:rPr>
          <w:sz w:val="20"/>
          <w:szCs w:val="20"/>
          <w:color w:val="auto"/>
        </w:rPr>
      </w:pPr>
      <w:r>
        <w:rPr>
          <w:rFonts w:ascii="Courier New" w:cs="Courier New" w:eastAsia="Courier New" w:hAnsi="Courier New"/>
          <w:sz w:val="15"/>
          <w:szCs w:val="15"/>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740"/>
        <w:spacing w:after="0"/>
        <w:rPr>
          <w:sz w:val="20"/>
          <w:szCs w:val="20"/>
          <w:color w:val="auto"/>
        </w:rPr>
      </w:pPr>
      <w:r>
        <w:rPr>
          <w:rFonts w:ascii="Courier New" w:cs="Courier New" w:eastAsia="Courier New" w:hAnsi="Courier New"/>
          <w:sz w:val="15"/>
          <w:szCs w:val="15"/>
          <w:color w:val="auto"/>
        </w:rPr>
        <w:t>0-27275</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5"/>
          <w:szCs w:val="15"/>
          <w:color w:val="auto"/>
        </w:rPr>
        <w:t>04-3432319</w:t>
      </w:r>
    </w:p>
    <w:p>
      <w:pPr>
        <w:spacing w:after="0" w:line="8" w:lineRule="exact"/>
        <w:rPr>
          <w:sz w:val="24"/>
          <w:szCs w:val="24"/>
          <w:color w:val="auto"/>
        </w:rPr>
      </w:pPr>
    </w:p>
    <w:p>
      <w:pPr>
        <w:jc w:val="center"/>
        <w:ind w:right="539"/>
        <w:spacing w:after="0"/>
        <w:rPr>
          <w:sz w:val="20"/>
          <w:szCs w:val="20"/>
          <w:color w:val="auto"/>
        </w:rPr>
      </w:pPr>
      <w:r>
        <w:rPr>
          <w:rFonts w:ascii="Courier New" w:cs="Courier New" w:eastAsia="Courier New" w:hAnsi="Courier New"/>
          <w:sz w:val="15"/>
          <w:szCs w:val="15"/>
          <w:color w:val="auto"/>
        </w:rPr>
        <w:t>(IRS Employer Identification No.)</w:t>
      </w:r>
    </w:p>
    <w:p>
      <w:pPr>
        <w:spacing w:after="0" w:line="8" w:lineRule="exact"/>
        <w:rPr>
          <w:sz w:val="24"/>
          <w:szCs w:val="24"/>
          <w:color w:val="auto"/>
        </w:rPr>
      </w:pPr>
    </w:p>
    <w:p>
      <w:pPr>
        <w:sectPr>
          <w:pgSz w:w="11900" w:h="16838" w:orient="portrait"/>
          <w:cols w:equalWidth="0" w:num="3">
            <w:col w:w="2780" w:space="720"/>
            <w:col w:w="2420" w:space="720"/>
            <w:col w:w="3579"/>
          </w:cols>
          <w:pgMar w:left="240" w:top="23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of Incorporation)</w:t>
      </w:r>
    </w:p>
    <w:p>
      <w:pPr>
        <w:sectPr>
          <w:pgSz w:w="11900" w:h="16838" w:orient="portrait"/>
          <w:cols w:equalWidth="0" w:num="1">
            <w:col w:w="10219"/>
          </w:cols>
          <w:pgMar w:left="240" w:top="236"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right="1400"/>
        <w:spacing w:after="0" w:line="253" w:lineRule="auto"/>
        <w:rPr>
          <w:sz w:val="20"/>
          <w:szCs w:val="20"/>
          <w:color w:val="auto"/>
        </w:rPr>
      </w:pPr>
      <w:r>
        <w:rPr>
          <w:rFonts w:ascii="Courier New" w:cs="Courier New" w:eastAsia="Courier New" w:hAnsi="Courier New"/>
          <w:sz w:val="15"/>
          <w:szCs w:val="15"/>
          <w:color w:val="auto"/>
        </w:rPr>
        <w:t>500 Technology Square, Cambridge, Massachusetts (Address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02139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10" w:lineRule="exact"/>
        <w:rPr>
          <w:sz w:val="24"/>
          <w:szCs w:val="24"/>
          <w:color w:val="auto"/>
        </w:rPr>
      </w:pPr>
    </w:p>
    <w:p>
      <w:pPr>
        <w:sectPr>
          <w:pgSz w:w="11900" w:h="16838" w:orient="portrait"/>
          <w:cols w:equalWidth="0" w:num="2">
            <w:col w:w="5740" w:space="720"/>
            <w:col w:w="3759"/>
          </w:cols>
          <w:pgMar w:left="240" w:top="236" w:right="1440" w:bottom="1440" w:gutter="0" w:footer="0" w:header="0"/>
          <w:type w:val="continuous"/>
        </w:sectPr>
      </w:pPr>
    </w:p>
    <w:p>
      <w:pPr>
        <w:spacing w:after="0" w:line="152" w:lineRule="exact"/>
        <w:rPr>
          <w:sz w:val="24"/>
          <w:szCs w:val="24"/>
          <w:color w:val="auto"/>
        </w:rPr>
      </w:pPr>
    </w:p>
    <w:p>
      <w:pPr>
        <w:spacing w:after="0"/>
        <w:tabs>
          <w:tab w:leader="none" w:pos="4860" w:val="left"/>
        </w:tabs>
        <w:rPr>
          <w:sz w:val="20"/>
          <w:szCs w:val="20"/>
          <w:color w:val="auto"/>
        </w:rPr>
      </w:pPr>
      <w:r>
        <w:rPr>
          <w:rFonts w:ascii="Courier New" w:cs="Courier New" w:eastAsia="Courier New" w:hAnsi="Courier New"/>
          <w:sz w:val="15"/>
          <w:szCs w:val="15"/>
          <w:color w:val="auto"/>
        </w:rPr>
        <w:t>Registrant's telephone number, including area code:</w:t>
        <w:tab/>
        <w:t>(617) 250-3000</w:t>
      </w:r>
    </w:p>
    <w:p>
      <w:pPr>
        <w:sectPr>
          <w:pgSz w:w="11900" w:h="16838" w:orient="portrait"/>
          <w:cols w:equalWidth="0" w:num="1">
            <w:col w:w="10219"/>
          </w:cols>
          <w:pgMar w:left="240" w:top="236" w:right="1440" w:bottom="1440" w:gutter="0" w:footer="0" w:header="0"/>
          <w:type w:val="continuous"/>
        </w:sectPr>
      </w:pPr>
    </w:p>
    <w:bookmarkStart w:id="1" w:name="page2"/>
    <w:bookmarkEnd w:id="1"/>
    <w:tbl>
      <w:tblPr>
        <w:tblLayout w:type="fixed"/>
        <w:tblInd w:w="5" w:type="dxa"/>
        <w:tblCellMar>
          <w:top w:w="0" w:type="dxa"/>
          <w:left w:w="0" w:type="dxa"/>
          <w:bottom w:w="0" w:type="dxa"/>
          <w:right w:w="0" w:type="dxa"/>
        </w:tblCellMar>
      </w:tblP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7"/>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w:t>
            </w:r>
          </w:p>
        </w:tc>
        <w:tc>
          <w:tcPr>
            <w:tcW w:w="1520" w:type="dxa"/>
            <w:vAlign w:val="bottom"/>
          </w:tcPr>
          <w:p>
            <w:pPr>
              <w:ind w:left="320"/>
              <w:spacing w:after="0"/>
              <w:rPr>
                <w:sz w:val="20"/>
                <w:szCs w:val="20"/>
                <w:color w:val="auto"/>
              </w:rPr>
            </w:pPr>
            <w:r>
              <w:rPr>
                <w:rFonts w:ascii="Courier New" w:cs="Courier New" w:eastAsia="Courier New" w:hAnsi="Courier New"/>
                <w:sz w:val="15"/>
                <w:szCs w:val="15"/>
                <w:color w:val="auto"/>
              </w:rPr>
              <w:t>OTHER EVENTS.</w:t>
            </w:r>
          </w:p>
        </w:tc>
      </w:tr>
    </w:tbl>
    <w:p>
      <w:pPr>
        <w:spacing w:after="0" w:line="183" w:lineRule="exact"/>
        <w:rPr>
          <w:sz w:val="20"/>
          <w:szCs w:val="20"/>
          <w:color w:val="auto"/>
        </w:rPr>
      </w:pPr>
    </w:p>
    <w:p>
      <w:pPr>
        <w:ind w:left="5" w:right="3019" w:firstLine="830"/>
        <w:spacing w:after="0" w:line="251" w:lineRule="auto"/>
        <w:rPr>
          <w:sz w:val="20"/>
          <w:szCs w:val="20"/>
          <w:color w:val="auto"/>
        </w:rPr>
      </w:pPr>
      <w:r>
        <w:rPr>
          <w:rFonts w:ascii="Courier New" w:cs="Courier New" w:eastAsia="Courier New" w:hAnsi="Courier New"/>
          <w:sz w:val="15"/>
          <w:szCs w:val="15"/>
          <w:color w:val="auto"/>
        </w:rPr>
        <w:t>Akamai Technologies, Inc. (the "Company") announced on June 12, 2000 that it proposed to offer and sell $250 million of convertible subordinated notes due 2007, which would be convertible into shares of the Company's common stock, $.01 par value per share (the "Common Stock"). A copy of the press release announcing the offering is attached to this Current Report on Form 8-K as Exhibit 99.1.</w:t>
      </w:r>
    </w:p>
    <w:p>
      <w:pPr>
        <w:spacing w:after="0" w:line="176"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The Company announced on June 15, 2000 the pricing of its 5 1/2% Convertible Subordinated Notes in the aggregate principal amount of $300 million (including an option to purchase up to an additional $50 million principal amount of notes to cover over allotments, if any) in accordance with Rule 144A under the Securities Act of 1933, as amended (the "Notes"). The Company announced that the Notes would be due July 1, 2007, convertible into shares of Common Stock at a conversion price of $115.47 per share and accrue interest payable semiannually. A copy of the press release announcing the pricing of the Notes is attached to this Current Report on Form 8-K as Exhibit 99.2.</w:t>
      </w:r>
    </w:p>
    <w:p>
      <w:pPr>
        <w:spacing w:after="0" w:line="175" w:lineRule="exact"/>
        <w:rPr>
          <w:sz w:val="20"/>
          <w:szCs w:val="20"/>
          <w:color w:val="auto"/>
        </w:rPr>
      </w:pPr>
    </w:p>
    <w:p>
      <w:pPr>
        <w:ind w:left="5" w:right="2939" w:firstLine="830"/>
        <w:spacing w:after="0" w:line="250" w:lineRule="auto"/>
        <w:rPr>
          <w:sz w:val="20"/>
          <w:szCs w:val="20"/>
          <w:color w:val="auto"/>
        </w:rPr>
      </w:pPr>
      <w:r>
        <w:rPr>
          <w:rFonts w:ascii="Courier New" w:cs="Courier New" w:eastAsia="Courier New" w:hAnsi="Courier New"/>
          <w:sz w:val="15"/>
          <w:szCs w:val="15"/>
          <w:color w:val="auto"/>
        </w:rPr>
        <w:t>The material terms of the Notes are set forth in (i) a Purchase Agreement, dated as of June 15, 2000, by and among the Company, Donaldson, Lufkin &amp; Jenrette Securities Corporation, Morgan Stanley &amp; Co. Incorporated, Salomon Smith Barney Inc. and Thomas Weisel Partners LLC; (ii) an Indenture, dated as of June 20, 2000, by and between the Company and State Street Bank and Trust Company; and (iii) a 5 1/2% Convertible Subordinated Notes due 2007 Registration Rights Agreement, dated as of June 20, 2000, by and among the Company and Donaldson, Lufkin &amp; Jenrette Securities Corporation, Morgan Stanley</w:t>
      </w:r>
    </w:p>
    <w:p>
      <w:pPr>
        <w:spacing w:after="0" w:line="4" w:lineRule="exact"/>
        <w:rPr>
          <w:sz w:val="20"/>
          <w:szCs w:val="20"/>
          <w:color w:val="auto"/>
        </w:rPr>
      </w:pPr>
    </w:p>
    <w:p>
      <w:pPr>
        <w:ind w:left="5" w:right="2839" w:hanging="5"/>
        <w:spacing w:after="0" w:line="252" w:lineRule="auto"/>
        <w:tabs>
          <w:tab w:leader="none" w:pos="1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Incorporated, Salomon Smith Barney Inc. and Thomas Weisel Partners LLC. Copies of such documents are filed as Exhibits 99.3, 99.4 and 99.5 respectively, and are incorporated by reference herein.</w:t>
      </w:r>
    </w:p>
    <w:p>
      <w:pPr>
        <w:spacing w:after="0" w:line="175" w:lineRule="exact"/>
        <w:rPr>
          <w:sz w:val="20"/>
          <w:szCs w:val="20"/>
          <w:color w:val="auto"/>
        </w:rPr>
      </w:pPr>
    </w:p>
    <w:p>
      <w:pPr>
        <w:ind w:left="1285" w:right="3679" w:hanging="1291"/>
        <w:spacing w:after="0" w:line="253" w:lineRule="auto"/>
        <w:tabs>
          <w:tab w:leader="none" w:pos="1265"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FINANCIAL STATEMENTS, PRO FORMA FINANCIAL INFORMATION AND EXHIBITS.</w:t>
      </w:r>
    </w:p>
    <w:p>
      <w:pPr>
        <w:spacing w:after="0" w:line="174" w:lineRule="exact"/>
        <w:rPr>
          <w:sz w:val="20"/>
          <w:szCs w:val="20"/>
          <w:color w:val="auto"/>
        </w:rPr>
      </w:pPr>
    </w:p>
    <w:p>
      <w:pPr>
        <w:ind w:left="1945" w:hanging="654"/>
        <w:spacing w:after="0"/>
        <w:tabs>
          <w:tab w:leader="none" w:pos="194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84" w:lineRule="exact"/>
        <w:rPr>
          <w:rFonts w:ascii="Courier New" w:cs="Courier New" w:eastAsia="Courier New" w:hAnsi="Courier New"/>
          <w:sz w:val="15"/>
          <w:szCs w:val="15"/>
          <w:color w:val="auto"/>
        </w:rPr>
      </w:pPr>
    </w:p>
    <w:p>
      <w:pPr>
        <w:ind w:left="1945" w:hanging="654"/>
        <w:spacing w:after="0"/>
        <w:tabs>
          <w:tab w:leader="none" w:pos="194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84" w:lineRule="exact"/>
        <w:rPr>
          <w:rFonts w:ascii="Courier New" w:cs="Courier New" w:eastAsia="Courier New" w:hAnsi="Courier New"/>
          <w:sz w:val="15"/>
          <w:szCs w:val="15"/>
          <w:color w:val="auto"/>
        </w:rPr>
      </w:pPr>
    </w:p>
    <w:p>
      <w:pPr>
        <w:ind w:left="1945" w:hanging="654"/>
        <w:spacing w:after="0"/>
        <w:tabs>
          <w:tab w:leader="none" w:pos="194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following exhibits are being filed herewith.</w:t>
      </w:r>
    </w:p>
    <w:p>
      <w:pPr>
        <w:spacing w:after="0" w:line="184" w:lineRule="exact"/>
        <w:rPr>
          <w:rFonts w:ascii="Courier New" w:cs="Courier New" w:eastAsia="Courier New" w:hAnsi="Courier New"/>
          <w:sz w:val="15"/>
          <w:szCs w:val="15"/>
          <w:color w:val="auto"/>
        </w:rPr>
      </w:pPr>
    </w:p>
    <w:p>
      <w:pPr>
        <w:ind w:left="2765" w:right="2839" w:hanging="830"/>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99.1Akamai Technologies, Inc. Press Release dated June 12, 2000.</w:t>
      </w:r>
    </w:p>
    <w:p>
      <w:pPr>
        <w:spacing w:after="0" w:line="174" w:lineRule="exact"/>
        <w:rPr>
          <w:rFonts w:ascii="Courier New" w:cs="Courier New" w:eastAsia="Courier New" w:hAnsi="Courier New"/>
          <w:sz w:val="15"/>
          <w:szCs w:val="15"/>
          <w:color w:val="auto"/>
        </w:rPr>
      </w:pPr>
    </w:p>
    <w:p>
      <w:pPr>
        <w:ind w:left="2765" w:right="2839" w:hanging="830"/>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99.2Akamai Technologies, Inc. Press Release dated June 15, 2000.</w:t>
      </w:r>
    </w:p>
    <w:p>
      <w:pPr>
        <w:spacing w:after="0" w:line="174" w:lineRule="exact"/>
        <w:rPr>
          <w:rFonts w:ascii="Courier New" w:cs="Courier New" w:eastAsia="Courier New" w:hAnsi="Courier New"/>
          <w:sz w:val="15"/>
          <w:szCs w:val="15"/>
          <w:color w:val="auto"/>
        </w:rPr>
      </w:pPr>
    </w:p>
    <w:p>
      <w:pPr>
        <w:ind w:left="2765" w:right="2939" w:hanging="830"/>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99.3Purchase Agreement, dated as of June 15, 2000, by and among Akamai Technologies, Inc., Donaldson, Lufkin &amp; Jenrette</w:t>
      </w:r>
    </w:p>
    <w:p>
      <w:pPr>
        <w:sectPr>
          <w:pgSz w:w="11900" w:h="16838" w:orient="portrait"/>
          <w:cols w:equalWidth="0" w:num="1">
            <w:col w:w="10225"/>
          </w:cols>
          <w:pgMar w:left="235" w:top="29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3</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Securities Corporation, Morgan Stanley &amp; Co.</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Incorporated, Salomon Smith Barney Inc. and Thomas</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Weisel Partners LLC.</w:t>
      </w:r>
    </w:p>
    <w:p>
      <w:pPr>
        <w:spacing w:after="0" w:line="185" w:lineRule="exact"/>
        <w:rPr>
          <w:sz w:val="20"/>
          <w:szCs w:val="20"/>
          <w:color w:val="auto"/>
        </w:rPr>
      </w:pPr>
    </w:p>
    <w:p>
      <w:pPr>
        <w:ind w:left="1660"/>
        <w:spacing w:after="0"/>
        <w:tabs>
          <w:tab w:leader="none" w:pos="2460" w:val="left"/>
        </w:tabs>
        <w:rPr>
          <w:sz w:val="20"/>
          <w:szCs w:val="20"/>
          <w:color w:val="auto"/>
        </w:rPr>
      </w:pPr>
      <w:r>
        <w:rPr>
          <w:rFonts w:ascii="Courier New" w:cs="Courier New" w:eastAsia="Courier New" w:hAnsi="Courier New"/>
          <w:sz w:val="15"/>
          <w:szCs w:val="15"/>
          <w:color w:val="auto"/>
        </w:rPr>
        <w:t>99.4</w:t>
      </w:r>
      <w:r>
        <w:rPr>
          <w:sz w:val="20"/>
          <w:szCs w:val="20"/>
          <w:color w:val="auto"/>
        </w:rPr>
        <w:tab/>
      </w:r>
      <w:r>
        <w:rPr>
          <w:rFonts w:ascii="Courier New" w:cs="Courier New" w:eastAsia="Courier New" w:hAnsi="Courier New"/>
          <w:sz w:val="15"/>
          <w:szCs w:val="15"/>
          <w:color w:val="auto"/>
        </w:rPr>
        <w:t>Indenture, dated as of June 20, 2000, by and</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between Akamai Technologies, Inc. and State</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Street Bank and Trust Company.</w:t>
      </w:r>
    </w:p>
    <w:p>
      <w:pPr>
        <w:spacing w:after="0" w:line="185" w:lineRule="exact"/>
        <w:rPr>
          <w:sz w:val="20"/>
          <w:szCs w:val="20"/>
          <w:color w:val="auto"/>
        </w:rPr>
      </w:pPr>
    </w:p>
    <w:p>
      <w:pPr>
        <w:ind w:left="2480" w:right="2939" w:hanging="829"/>
        <w:spacing w:after="0" w:line="251" w:lineRule="auto"/>
        <w:tabs>
          <w:tab w:leader="none" w:pos="2460" w:val="left"/>
        </w:tabs>
        <w:rPr>
          <w:sz w:val="20"/>
          <w:szCs w:val="20"/>
          <w:color w:val="auto"/>
        </w:rPr>
      </w:pPr>
      <w:r>
        <w:rPr>
          <w:rFonts w:ascii="Courier New" w:cs="Courier New" w:eastAsia="Courier New" w:hAnsi="Courier New"/>
          <w:sz w:val="15"/>
          <w:szCs w:val="15"/>
          <w:color w:val="auto"/>
        </w:rPr>
        <w:t>99.5</w:t>
      </w:r>
      <w:r>
        <w:rPr>
          <w:sz w:val="20"/>
          <w:szCs w:val="20"/>
          <w:color w:val="auto"/>
        </w:rPr>
        <w:tab/>
      </w:r>
      <w:r>
        <w:rPr>
          <w:rFonts w:ascii="Courier New" w:cs="Courier New" w:eastAsia="Courier New" w:hAnsi="Courier New"/>
          <w:sz w:val="15"/>
          <w:szCs w:val="15"/>
          <w:color w:val="auto"/>
        </w:rPr>
        <w:t>5 1/2% Convertible Subordinated Notes due 2007 Registration Rights Agreement, dated as of June 20, 2000, by and among the Company and Donaldson, Lufkin &amp; Jenrette Securities Corporation, Morgan Stanley &amp; Co. Incorporated, Salomon Smith Barney Inc. and Thomas Weisel Partners LLC.</w:t>
      </w:r>
    </w:p>
    <w:p>
      <w:pPr>
        <w:sectPr>
          <w:pgSz w:w="11900" w:h="16838" w:orient="portrait"/>
          <w:cols w:equalWidth="0" w:num="1">
            <w:col w:w="9939"/>
          </w:cols>
          <w:pgMar w:left="520" w:top="295"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jc w:val="both"/>
        <w:ind w:right="3119" w:firstLine="830"/>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295"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27, 2000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AKAMAI TECHNOLOGIES, INC.</w:t>
      </w:r>
    </w:p>
    <w:p>
      <w:pPr>
        <w:spacing w:after="0" w:line="200" w:lineRule="exact"/>
        <w:rPr>
          <w:sz w:val="20"/>
          <w:szCs w:val="20"/>
          <w:color w:val="auto"/>
        </w:rPr>
      </w:pPr>
    </w:p>
    <w:p>
      <w:pPr>
        <w:sectPr>
          <w:pgSz w:w="11900" w:h="16838" w:orient="portrait"/>
          <w:cols w:equalWidth="0" w:num="3">
            <w:col w:w="540" w:space="200"/>
            <w:col w:w="1480" w:space="720"/>
            <w:col w:w="7279"/>
          </w:cols>
          <w:pgMar w:left="240" w:top="295" w:right="1440" w:bottom="1440" w:gutter="0" w:footer="0" w:header="0"/>
          <w:type w:val="continuous"/>
        </w:sectPr>
      </w:pPr>
    </w:p>
    <w:p>
      <w:pPr>
        <w:spacing w:after="0" w:line="16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 Kathryn L. Jorden</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Kathryn L. Jorden</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Vice President, General Counsel and Secretary</w:t>
      </w:r>
    </w:p>
    <w:p>
      <w:pPr>
        <w:sectPr>
          <w:pgSz w:w="11900" w:h="16838" w:orient="portrait"/>
          <w:cols w:equalWidth="0" w:num="1">
            <w:col w:w="10219"/>
          </w:cols>
          <w:pgMar w:left="240" w:top="295"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6060" w:type="dxa"/>
            <w:vAlign w:val="bottom"/>
          </w:tcPr>
          <w:p>
            <w:pPr>
              <w:ind w:left="1800"/>
              <w:spacing w:after="0"/>
              <w:rPr>
                <w:sz w:val="20"/>
                <w:szCs w:val="20"/>
                <w:color w:val="auto"/>
              </w:rPr>
            </w:pPr>
            <w:r>
              <w:rPr>
                <w:rFonts w:ascii="Courier New" w:cs="Courier New" w:eastAsia="Courier New" w:hAnsi="Courier New"/>
                <w:sz w:val="15"/>
                <w:szCs w:val="15"/>
                <w:color w:val="auto"/>
              </w:rPr>
              <w:t>INDEX TO EXHIBITS</w:t>
            </w:r>
          </w:p>
        </w:tc>
      </w:tr>
      <w:tr>
        <w:trPr>
          <w:trHeight w:val="710"/>
        </w:trPr>
        <w:tc>
          <w:tcPr>
            <w:tcW w:w="11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060" w:type="dxa"/>
            <w:vAlign w:val="bottom"/>
          </w:tcPr>
          <w:p>
            <w:pPr>
              <w:ind w:left="520"/>
              <w:spacing w:after="0"/>
              <w:rPr>
                <w:sz w:val="20"/>
                <w:szCs w:val="20"/>
                <w:color w:val="auto"/>
              </w:rPr>
            </w:pPr>
            <w:r>
              <w:rPr>
                <w:rFonts w:ascii="Courier New" w:cs="Courier New" w:eastAsia="Courier New" w:hAnsi="Courier New"/>
                <w:sz w:val="15"/>
                <w:szCs w:val="15"/>
                <w:color w:val="auto"/>
              </w:rPr>
              <w:t>DESCRIPTION</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6060" w:type="dxa"/>
            <w:vAlign w:val="bottom"/>
          </w:tcPr>
          <w:p>
            <w:pPr>
              <w:spacing w:after="0"/>
              <w:rPr>
                <w:sz w:val="15"/>
                <w:szCs w:val="15"/>
                <w:color w:val="auto"/>
              </w:rPr>
            </w:pP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6060" w:type="dxa"/>
            <w:vAlign w:val="bottom"/>
          </w:tcPr>
          <w:p>
            <w:pPr>
              <w:ind w:left="520"/>
              <w:spacing w:after="0"/>
              <w:rPr>
                <w:sz w:val="20"/>
                <w:szCs w:val="20"/>
                <w:color w:val="auto"/>
              </w:rPr>
            </w:pPr>
            <w:r>
              <w:rPr>
                <w:rFonts w:ascii="Courier New" w:cs="Courier New" w:eastAsia="Courier New" w:hAnsi="Courier New"/>
                <w:sz w:val="15"/>
                <w:szCs w:val="15"/>
                <w:color w:val="auto"/>
              </w:rPr>
              <w:t>Akamai Technologies, Inc. Press Release dated June 12, 2000.</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99.2</w:t>
            </w:r>
          </w:p>
        </w:tc>
        <w:tc>
          <w:tcPr>
            <w:tcW w:w="6060" w:type="dxa"/>
            <w:vAlign w:val="bottom"/>
          </w:tcPr>
          <w:p>
            <w:pPr>
              <w:ind w:left="520"/>
              <w:spacing w:after="0"/>
              <w:rPr>
                <w:sz w:val="20"/>
                <w:szCs w:val="20"/>
                <w:color w:val="auto"/>
              </w:rPr>
            </w:pPr>
            <w:r>
              <w:rPr>
                <w:rFonts w:ascii="Courier New" w:cs="Courier New" w:eastAsia="Courier New" w:hAnsi="Courier New"/>
                <w:sz w:val="15"/>
                <w:szCs w:val="15"/>
                <w:color w:val="auto"/>
              </w:rPr>
              <w:t>Akamai Technologies, Inc. Press Release dated June 15, 2000.</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99.3</w:t>
            </w:r>
          </w:p>
        </w:tc>
        <w:tc>
          <w:tcPr>
            <w:tcW w:w="6060" w:type="dxa"/>
            <w:vAlign w:val="bottom"/>
          </w:tcPr>
          <w:p>
            <w:pPr>
              <w:ind w:left="520"/>
              <w:spacing w:after="0"/>
              <w:rPr>
                <w:sz w:val="20"/>
                <w:szCs w:val="20"/>
                <w:color w:val="auto"/>
              </w:rPr>
            </w:pPr>
            <w:r>
              <w:rPr>
                <w:rFonts w:ascii="Courier New" w:cs="Courier New" w:eastAsia="Courier New" w:hAnsi="Courier New"/>
                <w:sz w:val="15"/>
                <w:szCs w:val="15"/>
                <w:color w:val="auto"/>
              </w:rPr>
              <w:t>Purchase Agreement, dated as of June 15, 2000, by and among</w:t>
            </w:r>
          </w:p>
        </w:tc>
      </w:tr>
      <w:tr>
        <w:trPr>
          <w:trHeight w:val="177"/>
        </w:trPr>
        <w:tc>
          <w:tcPr>
            <w:tcW w:w="1140" w:type="dxa"/>
            <w:vAlign w:val="bottom"/>
          </w:tcPr>
          <w:p>
            <w:pPr>
              <w:spacing w:after="0"/>
              <w:rPr>
                <w:sz w:val="15"/>
                <w:szCs w:val="15"/>
                <w:color w:val="auto"/>
              </w:rPr>
            </w:pPr>
          </w:p>
        </w:tc>
        <w:tc>
          <w:tcPr>
            <w:tcW w:w="6060" w:type="dxa"/>
            <w:vAlign w:val="bottom"/>
          </w:tcPr>
          <w:p>
            <w:pPr>
              <w:ind w:left="520"/>
              <w:spacing w:after="0"/>
              <w:rPr>
                <w:sz w:val="20"/>
                <w:szCs w:val="20"/>
                <w:color w:val="auto"/>
              </w:rPr>
            </w:pPr>
            <w:r>
              <w:rPr>
                <w:rFonts w:ascii="Courier New" w:cs="Courier New" w:eastAsia="Courier New" w:hAnsi="Courier New"/>
                <w:sz w:val="15"/>
                <w:szCs w:val="15"/>
                <w:color w:val="auto"/>
              </w:rPr>
              <w:t>Akamai Technologies, Inc., Donaldson, Lufkin &amp; Jenrette</w:t>
            </w:r>
          </w:p>
        </w:tc>
      </w:tr>
      <w:tr>
        <w:trPr>
          <w:trHeight w:val="177"/>
        </w:trPr>
        <w:tc>
          <w:tcPr>
            <w:tcW w:w="1140" w:type="dxa"/>
            <w:vAlign w:val="bottom"/>
          </w:tcPr>
          <w:p>
            <w:pPr>
              <w:spacing w:after="0"/>
              <w:rPr>
                <w:sz w:val="15"/>
                <w:szCs w:val="15"/>
                <w:color w:val="auto"/>
              </w:rPr>
            </w:pPr>
          </w:p>
        </w:tc>
        <w:tc>
          <w:tcPr>
            <w:tcW w:w="6060" w:type="dxa"/>
            <w:vAlign w:val="bottom"/>
          </w:tcPr>
          <w:p>
            <w:pPr>
              <w:ind w:left="520"/>
              <w:spacing w:after="0"/>
              <w:rPr>
                <w:sz w:val="20"/>
                <w:szCs w:val="20"/>
                <w:color w:val="auto"/>
              </w:rPr>
            </w:pPr>
            <w:r>
              <w:rPr>
                <w:rFonts w:ascii="Courier New" w:cs="Courier New" w:eastAsia="Courier New" w:hAnsi="Courier New"/>
                <w:sz w:val="15"/>
                <w:szCs w:val="15"/>
                <w:color w:val="auto"/>
              </w:rPr>
              <w:t>Securities Corporation, Morgan Stanley &amp; Co. Incorporated,</w:t>
            </w:r>
          </w:p>
        </w:tc>
      </w:tr>
      <w:tr>
        <w:trPr>
          <w:trHeight w:val="177"/>
        </w:trPr>
        <w:tc>
          <w:tcPr>
            <w:tcW w:w="1140" w:type="dxa"/>
            <w:vAlign w:val="bottom"/>
          </w:tcPr>
          <w:p>
            <w:pPr>
              <w:spacing w:after="0"/>
              <w:rPr>
                <w:sz w:val="15"/>
                <w:szCs w:val="15"/>
                <w:color w:val="auto"/>
              </w:rPr>
            </w:pPr>
          </w:p>
        </w:tc>
        <w:tc>
          <w:tcPr>
            <w:tcW w:w="6060" w:type="dxa"/>
            <w:vAlign w:val="bottom"/>
          </w:tcPr>
          <w:p>
            <w:pPr>
              <w:ind w:left="520"/>
              <w:spacing w:after="0"/>
              <w:rPr>
                <w:sz w:val="20"/>
                <w:szCs w:val="20"/>
                <w:color w:val="auto"/>
              </w:rPr>
            </w:pPr>
            <w:r>
              <w:rPr>
                <w:rFonts w:ascii="Courier New" w:cs="Courier New" w:eastAsia="Courier New" w:hAnsi="Courier New"/>
                <w:sz w:val="15"/>
                <w:szCs w:val="15"/>
                <w:color w:val="auto"/>
              </w:rPr>
              <w:t>Salomon Smith Barney Inc. and Thomas Weisel Partners LLC.</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99.4</w:t>
            </w:r>
          </w:p>
        </w:tc>
        <w:tc>
          <w:tcPr>
            <w:tcW w:w="6060" w:type="dxa"/>
            <w:vAlign w:val="bottom"/>
          </w:tcPr>
          <w:p>
            <w:pPr>
              <w:ind w:left="520"/>
              <w:spacing w:after="0"/>
              <w:rPr>
                <w:sz w:val="20"/>
                <w:szCs w:val="20"/>
                <w:color w:val="auto"/>
              </w:rPr>
            </w:pPr>
            <w:r>
              <w:rPr>
                <w:rFonts w:ascii="Courier New" w:cs="Courier New" w:eastAsia="Courier New" w:hAnsi="Courier New"/>
                <w:sz w:val="15"/>
                <w:szCs w:val="15"/>
                <w:color w:val="auto"/>
              </w:rPr>
              <w:t>Indenture, dated as of June 20, 2000, by and between Akamai</w:t>
            </w:r>
          </w:p>
        </w:tc>
      </w:tr>
      <w:tr>
        <w:trPr>
          <w:trHeight w:val="177"/>
        </w:trPr>
        <w:tc>
          <w:tcPr>
            <w:tcW w:w="1140" w:type="dxa"/>
            <w:vAlign w:val="bottom"/>
          </w:tcPr>
          <w:p>
            <w:pPr>
              <w:spacing w:after="0"/>
              <w:rPr>
                <w:sz w:val="15"/>
                <w:szCs w:val="15"/>
                <w:color w:val="auto"/>
              </w:rPr>
            </w:pPr>
          </w:p>
        </w:tc>
        <w:tc>
          <w:tcPr>
            <w:tcW w:w="6060" w:type="dxa"/>
            <w:vAlign w:val="bottom"/>
          </w:tcPr>
          <w:p>
            <w:pPr>
              <w:ind w:left="520"/>
              <w:spacing w:after="0"/>
              <w:rPr>
                <w:sz w:val="20"/>
                <w:szCs w:val="20"/>
                <w:color w:val="auto"/>
              </w:rPr>
            </w:pPr>
            <w:r>
              <w:rPr>
                <w:rFonts w:ascii="Courier New" w:cs="Courier New" w:eastAsia="Courier New" w:hAnsi="Courier New"/>
                <w:sz w:val="15"/>
                <w:szCs w:val="15"/>
                <w:color w:val="auto"/>
              </w:rPr>
              <w:t>Technologies, Inc. and State Street Bank and Trust Company.</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99.5</w:t>
            </w:r>
          </w:p>
        </w:tc>
        <w:tc>
          <w:tcPr>
            <w:tcW w:w="6060" w:type="dxa"/>
            <w:vAlign w:val="bottom"/>
          </w:tcPr>
          <w:p>
            <w:pPr>
              <w:ind w:left="520"/>
              <w:spacing w:after="0"/>
              <w:rPr>
                <w:sz w:val="20"/>
                <w:szCs w:val="20"/>
                <w:color w:val="auto"/>
              </w:rPr>
            </w:pPr>
            <w:r>
              <w:rPr>
                <w:rFonts w:ascii="Courier New" w:cs="Courier New" w:eastAsia="Courier New" w:hAnsi="Courier New"/>
                <w:sz w:val="15"/>
                <w:szCs w:val="15"/>
                <w:color w:val="auto"/>
              </w:rPr>
              <w:t>5 1/2% Convertible Subordinated Notes due 2007 Registration</w:t>
            </w:r>
          </w:p>
        </w:tc>
      </w:tr>
      <w:tr>
        <w:trPr>
          <w:trHeight w:val="177"/>
        </w:trPr>
        <w:tc>
          <w:tcPr>
            <w:tcW w:w="1140" w:type="dxa"/>
            <w:vAlign w:val="bottom"/>
          </w:tcPr>
          <w:p>
            <w:pPr>
              <w:spacing w:after="0"/>
              <w:rPr>
                <w:sz w:val="15"/>
                <w:szCs w:val="15"/>
                <w:color w:val="auto"/>
              </w:rPr>
            </w:pPr>
          </w:p>
        </w:tc>
        <w:tc>
          <w:tcPr>
            <w:tcW w:w="6060" w:type="dxa"/>
            <w:vAlign w:val="bottom"/>
          </w:tcPr>
          <w:p>
            <w:pPr>
              <w:ind w:left="520"/>
              <w:spacing w:after="0"/>
              <w:rPr>
                <w:sz w:val="20"/>
                <w:szCs w:val="20"/>
                <w:color w:val="auto"/>
              </w:rPr>
            </w:pPr>
            <w:r>
              <w:rPr>
                <w:rFonts w:ascii="Courier New" w:cs="Courier New" w:eastAsia="Courier New" w:hAnsi="Courier New"/>
                <w:sz w:val="15"/>
                <w:szCs w:val="15"/>
                <w:color w:val="auto"/>
              </w:rPr>
              <w:t>Rights Agreement, dated as of June 20, 2000, by and among</w:t>
            </w:r>
          </w:p>
        </w:tc>
      </w:tr>
      <w:tr>
        <w:trPr>
          <w:trHeight w:val="177"/>
        </w:trPr>
        <w:tc>
          <w:tcPr>
            <w:tcW w:w="1140" w:type="dxa"/>
            <w:vAlign w:val="bottom"/>
          </w:tcPr>
          <w:p>
            <w:pPr>
              <w:spacing w:after="0"/>
              <w:rPr>
                <w:sz w:val="15"/>
                <w:szCs w:val="15"/>
                <w:color w:val="auto"/>
              </w:rPr>
            </w:pPr>
          </w:p>
        </w:tc>
        <w:tc>
          <w:tcPr>
            <w:tcW w:w="6060" w:type="dxa"/>
            <w:vAlign w:val="bottom"/>
          </w:tcPr>
          <w:p>
            <w:pPr>
              <w:ind w:left="520"/>
              <w:spacing w:after="0"/>
              <w:rPr>
                <w:sz w:val="20"/>
                <w:szCs w:val="20"/>
                <w:color w:val="auto"/>
              </w:rPr>
            </w:pPr>
            <w:r>
              <w:rPr>
                <w:rFonts w:ascii="Courier New" w:cs="Courier New" w:eastAsia="Courier New" w:hAnsi="Courier New"/>
                <w:sz w:val="15"/>
                <w:szCs w:val="15"/>
                <w:color w:val="auto"/>
              </w:rPr>
              <w:t>Akamai Technologies, Inc. and Donaldson, Lufkin &amp; Jenrette</w:t>
            </w:r>
          </w:p>
        </w:tc>
      </w:tr>
      <w:tr>
        <w:trPr>
          <w:trHeight w:val="177"/>
        </w:trPr>
        <w:tc>
          <w:tcPr>
            <w:tcW w:w="1140" w:type="dxa"/>
            <w:vAlign w:val="bottom"/>
          </w:tcPr>
          <w:p>
            <w:pPr>
              <w:spacing w:after="0"/>
              <w:rPr>
                <w:sz w:val="15"/>
                <w:szCs w:val="15"/>
                <w:color w:val="auto"/>
              </w:rPr>
            </w:pPr>
          </w:p>
        </w:tc>
        <w:tc>
          <w:tcPr>
            <w:tcW w:w="6060" w:type="dxa"/>
            <w:vAlign w:val="bottom"/>
          </w:tcPr>
          <w:p>
            <w:pPr>
              <w:ind w:left="520"/>
              <w:spacing w:after="0"/>
              <w:rPr>
                <w:sz w:val="20"/>
                <w:szCs w:val="20"/>
                <w:color w:val="auto"/>
              </w:rPr>
            </w:pPr>
            <w:r>
              <w:rPr>
                <w:rFonts w:ascii="Courier New" w:cs="Courier New" w:eastAsia="Courier New" w:hAnsi="Courier New"/>
                <w:sz w:val="15"/>
                <w:szCs w:val="15"/>
                <w:color w:val="auto"/>
              </w:rPr>
              <w:t>Securities Corporation, Morgan Stanley &amp; Co. Incorporated,</w:t>
            </w:r>
          </w:p>
        </w:tc>
      </w:tr>
      <w:tr>
        <w:trPr>
          <w:trHeight w:val="177"/>
        </w:trPr>
        <w:tc>
          <w:tcPr>
            <w:tcW w:w="1140" w:type="dxa"/>
            <w:vAlign w:val="bottom"/>
          </w:tcPr>
          <w:p>
            <w:pPr>
              <w:spacing w:after="0"/>
              <w:rPr>
                <w:sz w:val="15"/>
                <w:szCs w:val="15"/>
                <w:color w:val="auto"/>
              </w:rPr>
            </w:pPr>
          </w:p>
        </w:tc>
        <w:tc>
          <w:tcPr>
            <w:tcW w:w="6060" w:type="dxa"/>
            <w:vAlign w:val="bottom"/>
          </w:tcPr>
          <w:p>
            <w:pPr>
              <w:ind w:left="520"/>
              <w:spacing w:after="0"/>
              <w:rPr>
                <w:sz w:val="20"/>
                <w:szCs w:val="20"/>
                <w:color w:val="auto"/>
              </w:rPr>
            </w:pPr>
            <w:r>
              <w:rPr>
                <w:rFonts w:ascii="Courier New" w:cs="Courier New" w:eastAsia="Courier New" w:hAnsi="Courier New"/>
                <w:sz w:val="15"/>
                <w:szCs w:val="15"/>
                <w:color w:val="auto"/>
              </w:rPr>
              <w:t>Salomon Smith Barney Inc. and Thomas Weisel Partners LLC.</w:t>
            </w:r>
          </w:p>
        </w:tc>
      </w:tr>
    </w:tbl>
    <w:p>
      <w:pPr>
        <w:sectPr>
          <w:pgSz w:w="11900" w:h="16838" w:orient="portrait"/>
          <w:cols w:equalWidth="0" w:num="1">
            <w:col w:w="10219"/>
          </w:cols>
          <w:pgMar w:left="240" w:top="295"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ind w:left="6640"/>
        <w:spacing w:after="0"/>
        <w:rPr>
          <w:sz w:val="20"/>
          <w:szCs w:val="20"/>
          <w:color w:val="auto"/>
        </w:rPr>
      </w:pPr>
      <w:r>
        <w:rPr>
          <w:rFonts w:ascii="Courier New" w:cs="Courier New" w:eastAsia="Courier New" w:hAnsi="Courier New"/>
          <w:sz w:val="15"/>
          <w:szCs w:val="15"/>
          <w:color w:val="auto"/>
        </w:rPr>
        <w:t>EX: 99.1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CONTACTS:</w:t>
      </w:r>
    </w:p>
    <w:p>
      <w:pPr>
        <w:sectPr>
          <w:pgSz w:w="11900" w:h="16838" w:orient="portrait"/>
          <w:cols w:equalWidth="0" w:num="1">
            <w:col w:w="10219"/>
          </w:cols>
          <w:pgMar w:left="240" w:top="142"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Jeff Young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617-250-3913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jyoung@akamai.com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5"/>
          <w:szCs w:val="15"/>
          <w:color w:val="auto"/>
        </w:rPr>
        <w:t>-- or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Caryn Converse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617-250-4661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converse@akamai.com</w:t>
      </w:r>
    </w:p>
    <w:p>
      <w:pPr>
        <w:spacing w:after="0" w:line="8" w:lineRule="exact"/>
        <w:rPr>
          <w:sz w:val="20"/>
          <w:szCs w:val="20"/>
          <w:color w:val="auto"/>
        </w:rPr>
      </w:pPr>
    </w:p>
    <w:p>
      <w:pPr>
        <w:sectPr>
          <w:pgSz w:w="11900" w:h="16838" w:orient="portrait"/>
          <w:cols w:equalWidth="0" w:num="3">
            <w:col w:w="2600" w:space="720"/>
            <w:col w:w="1580" w:space="720"/>
            <w:col w:w="459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080" w:space="720"/>
            <w:col w:w="4419"/>
          </w:cols>
          <w:pgMar w:left="240" w:top="142" w:right="1440" w:bottom="1440" w:gutter="0" w:footer="0" w:header="0"/>
          <w:type w:val="continuous"/>
        </w:sectPr>
      </w:pPr>
    </w:p>
    <w:p>
      <w:pPr>
        <w:spacing w:after="0" w:line="162"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AKAMAI TECHNOLOGIES, INC. PLANS OFFERING OF $250 MILLION</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OF CONVERTIBLE SUBORDINATED NOTES</w:t>
      </w:r>
    </w:p>
    <w:p>
      <w:pPr>
        <w:sectPr>
          <w:pgSz w:w="11900" w:h="16838" w:orient="portrait"/>
          <w:cols w:equalWidth="0" w:num="1">
            <w:col w:w="10219"/>
          </w:cols>
          <w:pgMar w:left="240" w:top="142" w:right="1440" w:bottom="1440" w:gutter="0" w:footer="0" w:header="0"/>
          <w:type w:val="continuous"/>
        </w:sectPr>
      </w:pPr>
    </w:p>
    <w:p>
      <w:pPr>
        <w:spacing w:after="0" w:line="362"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CAMBRIDGE, MA, JUNE 12, 2000 -- Akamai Technologies, Inc. (Nasdaq: AKAM) today announced that it proposes to offer and sell $250 million through the sale of convertible subordinated notes due 2007 in a private offering pursuant to Rule 144A under the Securities Act of 1933. In addition, the Company has granted to the initial purchasers an option to purchase up to an additional $50 million of convertible subordinated notes solely to cover over-allotments. The notes will be convertible into shares of the Company's common stock.</w:t>
      </w:r>
    </w:p>
    <w:p>
      <w:pPr>
        <w:spacing w:after="0" w:line="17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Proceeds from the offering will be used for working capital and general corporate purposes, including new service offerings and potential acquisitions of complementary businesses, products and technologies.</w:t>
      </w:r>
    </w:p>
    <w:p>
      <w:pPr>
        <w:spacing w:after="0" w:line="175" w:lineRule="exact"/>
        <w:rPr>
          <w:sz w:val="20"/>
          <w:szCs w:val="20"/>
          <w:color w:val="auto"/>
        </w:rPr>
      </w:pPr>
    </w:p>
    <w:p>
      <w:pPr>
        <w:jc w:val="both"/>
        <w:ind w:right="3119"/>
        <w:spacing w:after="0" w:line="251" w:lineRule="auto"/>
        <w:rPr>
          <w:sz w:val="20"/>
          <w:szCs w:val="20"/>
          <w:color w:val="auto"/>
        </w:rPr>
      </w:pPr>
      <w:r>
        <w:rPr>
          <w:rFonts w:ascii="Courier New" w:cs="Courier New" w:eastAsia="Courier New" w:hAnsi="Courier New"/>
          <w:sz w:val="15"/>
          <w:szCs w:val="15"/>
          <w:color w:val="auto"/>
        </w:rPr>
        <w:t>Neither the convertible subordinated notes nor the shares of common issuable upon conversion thereof have been registered under the Securities Act of 1933 and may not be offered or sold in the United States absent registration or an applicable exemption from registration.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AKAMAI</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Akamai is the foremost provider of global, high performance services for the delivery of Internet content, streaming media, and applications, serving over 1,000 customers. Akamai has the broadest deployment of servers for content, streaming media, and applications delivery with more than 4,000 servers in over 45 countries directly connected to more than 160 different telecommunications networks. Akamai (pronounced AH kuh my) is Hawaiian for intelligent, clever and cool.</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 #</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AKAMAI STATEMENT UNDER THE PRIVATE SECURITIES LITIGATION REFORM ACT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release contains information about future expectations, plans and prospects of Akamai's management that constitute forward-looking statements for purposes of the safe harbor provisions under The Private Securities Litigation Reform Act of 1995. Actual results may differ materially from those indicated by these forward-looking statements as a result of various important factors including, but not limited to, the dependence on Akamai's Internet content delivery service, a failure of its network infrastructure, the complexity of its service and the networks on which the service is deployed, the failure to obtain access to transmission capacity and other factors that are discussed in the Company's Annual Report on Form 10-K and other documents periodically filed with the SEC.</w:t>
      </w:r>
    </w:p>
    <w:p>
      <w:pPr>
        <w:sectPr>
          <w:pgSz w:w="11900" w:h="16838" w:orient="portrait"/>
          <w:cols w:equalWidth="0" w:num="1">
            <w:col w:w="10219"/>
          </w:cols>
          <w:pgMar w:left="240" w:top="142"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ind w:left="6640"/>
        <w:spacing w:after="0"/>
        <w:rPr>
          <w:sz w:val="20"/>
          <w:szCs w:val="20"/>
          <w:color w:val="auto"/>
        </w:rPr>
      </w:pPr>
      <w:r>
        <w:rPr>
          <w:rFonts w:ascii="Courier New" w:cs="Courier New" w:eastAsia="Courier New" w:hAnsi="Courier New"/>
          <w:sz w:val="15"/>
          <w:szCs w:val="15"/>
          <w:color w:val="auto"/>
        </w:rPr>
        <w:t>EX: 99.2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CONTACTS:</w:t>
      </w:r>
    </w:p>
    <w:p>
      <w:pPr>
        <w:sectPr>
          <w:pgSz w:w="11900" w:h="16838" w:orient="portrait"/>
          <w:cols w:equalWidth="0" w:num="1">
            <w:col w:w="10219"/>
          </w:cols>
          <w:pgMar w:left="240" w:top="142"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Jeff Young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617-250-3913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jyoung@akamai.com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or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Caryn Converse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617-250-4661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converse@akamai.com</w:t>
      </w:r>
    </w:p>
    <w:p>
      <w:pPr>
        <w:spacing w:after="0" w:line="8" w:lineRule="exact"/>
        <w:rPr>
          <w:sz w:val="20"/>
          <w:szCs w:val="20"/>
          <w:color w:val="auto"/>
        </w:rPr>
      </w:pPr>
    </w:p>
    <w:p>
      <w:pPr>
        <w:sectPr>
          <w:pgSz w:w="11900" w:h="16838" w:orient="portrait"/>
          <w:cols w:equalWidth="0" w:num="3">
            <w:col w:w="2600" w:space="720"/>
            <w:col w:w="1580" w:space="720"/>
            <w:col w:w="4599"/>
          </w:cols>
          <w:pgMar w:left="240" w:top="142" w:right="1440" w:bottom="1440" w:gutter="0" w:footer="0" w:header="0"/>
          <w:type w:val="continuous"/>
        </w:sectPr>
      </w:pPr>
    </w:p>
    <w:p>
      <w:pPr>
        <w:spacing w:after="0"/>
        <w:tabs>
          <w:tab w:leader="none" w:pos="57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36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AKAMAI TECHNOLOGIES, INC. ANNOUNCES PRICING OF $250</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MILLION IN CONVERTIBLE SUBORDINATED NOTES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CAMBRIDGE, MA, JUNE 15, 2000 -- Akamai Technologies, Inc. (NASDAQ: AKAM) today announced the pricing of its private placement of $250 million 5.50% Convertible Subordinated Notes due 2007. The notes will be issued at 100% of the principal amount. The offering is expected to close on June 20, 2000.</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offering is being made to qualified institutional buyers. The notes, due July 1, 2007, are convertible into shares of Akamai common stock at any time at a conversion price of $115.47. The convertible notes accrue interest that will be payable semiannually.</w:t>
      </w:r>
    </w:p>
    <w:p>
      <w:pPr>
        <w:spacing w:after="0" w:line="176"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Akamai has granted the initial purchasers of the convertible notes an option to purchase up to an additional $50 million principal amount of notes to cover over-allotments, if any.</w:t>
      </w:r>
    </w:p>
    <w:p>
      <w:pPr>
        <w:spacing w:after="0" w:line="17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This announcement is neither an offer to sell nor a solicitation of an offer to buy any of these securities.</w:t>
      </w:r>
    </w:p>
    <w:p>
      <w:pPr>
        <w:spacing w:after="0" w:line="17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notes and the common stock issuable upon conversion of the notes have not been registered under the Securities Act of 1933, as amended (the "Securities Act"), or any state securities laws. Unless so registered, the notes and the common stock issuable upon conversion of the notes may not be offered or sold in the United States except pursuant to an exemption from the registration requirements of the Securities Act and applicable state securities laws.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AKAMAI</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Akamai is the foremost provider of global, high performance services for the delivery of Internet content, streaming media, and applications, serving over 1,000 customers. Akamai has the broadest deployment of servers for content, streaming media, and applications delivery with more than 4,000 servers in over 45 countries directly connected to more than 160 different telecommunications networks. Akamai (pronounced AH kuh my) is Hawaiian for intelligent, clever and cool.</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 #</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AKAMAI STATEMENT UNDER THE PRIVATE SECURITIES LITIGATION REFORM ACT</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release contains information about future expectations, plans and prospects of Akamai's management that constitute forward-looking statements for purposes of the safe harbor provisions under The Private Securities Litigation Reform Act of 1995. Actual results may differ materially from those indicated by these forward-looking statements as a result of various important factors including, but not limited to, the dependence on Akamai's Internet content delivery service, a failure of its network infrastructure, the complexity of its service and the networks on which the service is deployed, the failure to obtain access to transmission capacity and other factors that are discussed in the Company's Annual Report on Form 10-K and other documents periodically filed with the SEC.</w:t>
      </w:r>
    </w:p>
    <w:p>
      <w:pPr>
        <w:sectPr>
          <w:pgSz w:w="11900" w:h="16838" w:orient="portrait"/>
          <w:cols w:equalWidth="0" w:num="1">
            <w:col w:w="10219"/>
          </w:cols>
          <w:pgMar w:left="240" w:top="142"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99.3</w:t>
      </w:r>
    </w:p>
    <w:p>
      <w:pPr>
        <w:spacing w:after="0" w:line="200" w:lineRule="exact"/>
        <w:rPr>
          <w:sz w:val="20"/>
          <w:szCs w:val="20"/>
          <w:color w:val="auto"/>
        </w:rPr>
      </w:pPr>
    </w:p>
    <w:p>
      <w:pPr>
        <w:spacing w:after="0" w:line="340"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AKAMAI TECHNOLOGIES, INC.</w:t>
      </w:r>
    </w:p>
    <w:p>
      <w:pPr>
        <w:spacing w:after="0" w:line="36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$250,000,000</w:t>
      </w:r>
    </w:p>
    <w:p>
      <w:pPr>
        <w:spacing w:after="0" w:line="18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Principal Amount</w:t>
      </w:r>
    </w:p>
    <w:p>
      <w:pPr>
        <w:spacing w:after="0" w:line="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5-1/2% Convertible Subordinated Notes due 2007</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Purchase Agreement</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June 15,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DONALDSON, LUFKIN &amp; JENRETTE</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SECURITIES CORPORATION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SALOMON SMITH BARNEY INC.</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THOMAS WEISEL PARTNERS LLC</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939"/>
          </w:cols>
          <w:pgMar w:left="520" w:top="142"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2</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5-1/2% Convertible Subordinated Notes due 2007</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of AKAMAI TECHNOLOGIES, INC.</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PURCHASE AGREEMENT</w:t>
      </w:r>
    </w:p>
    <w:p>
      <w:pPr>
        <w:spacing w:after="0" w:line="362"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June 15, 2000</w:t>
      </w:r>
    </w:p>
    <w:p>
      <w:pPr>
        <w:spacing w:after="0" w:line="362" w:lineRule="exact"/>
        <w:rPr>
          <w:sz w:val="20"/>
          <w:szCs w:val="20"/>
          <w:color w:val="auto"/>
        </w:rPr>
      </w:pPr>
    </w:p>
    <w:p>
      <w:pPr>
        <w:jc w:val="right"/>
        <w:ind w:right="7639"/>
        <w:spacing w:after="0"/>
        <w:rPr>
          <w:sz w:val="20"/>
          <w:szCs w:val="20"/>
          <w:color w:val="auto"/>
        </w:rPr>
      </w:pPr>
      <w:r>
        <w:rPr>
          <w:rFonts w:ascii="Courier New" w:cs="Courier New" w:eastAsia="Courier New" w:hAnsi="Courier New"/>
          <w:sz w:val="15"/>
          <w:szCs w:val="15"/>
          <w:color w:val="auto"/>
        </w:rPr>
        <w:t>DONALDSON, LUFKIN &amp; JENRETTE</w:t>
      </w:r>
    </w:p>
    <w:p>
      <w:pPr>
        <w:spacing w:after="0" w:line="8" w:lineRule="exact"/>
        <w:rPr>
          <w:sz w:val="20"/>
          <w:szCs w:val="20"/>
          <w:color w:val="auto"/>
        </w:rPr>
      </w:pPr>
    </w:p>
    <w:p>
      <w:pPr>
        <w:jc w:val="right"/>
        <w:ind w:right="7639"/>
        <w:spacing w:after="0"/>
        <w:rPr>
          <w:sz w:val="20"/>
          <w:szCs w:val="20"/>
          <w:color w:val="auto"/>
        </w:rPr>
      </w:pPr>
      <w:r>
        <w:rPr>
          <w:rFonts w:ascii="Courier New" w:cs="Courier New" w:eastAsia="Courier New" w:hAnsi="Courier New"/>
          <w:sz w:val="15"/>
          <w:szCs w:val="15"/>
          <w:color w:val="auto"/>
        </w:rPr>
        <w:t>SECURITIES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SALOMON SMITH BARNEY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WEISEL PARTNERS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Donaldson, Lufkin &amp; Jenrette</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Securities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277 Park Avenue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10172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AKAMAI TECHNOLOGIES, INC., a Delaware corporation (the "COMPANY"), proposes to issue and sell to Donaldson, Lufkin &amp; Jenrette Securities Corporation ("DLJ"), Morgan Stanley &amp; Co. Incorporated, Salomon Smith Barney Inc. and Thomas Weisel Partners LLC (each an "INITIAL PURCHASER" and, collectively, the "INITIAL PURCHASERS") an aggregate of $250,000,000 in principal amount of its 5.5% Convertible Subordinated Notes due 2007 (the "FIRM NOTES"), subject to the terms and conditions set forth herein. The Company also proposes to issue and sell to the Initial Purchasers not more than an additional $50,000,000 principal amount of its 5-1/2% Convertible Subordinated Notes due 2007 (the "ADDITIONAL NOTES"), if requested by the Initial Purchasers as provided in Section 2 hereof. The Firm Notes and the Additional Notes are herein collectively referred to as the "NOTES". The Notes are to be issued pursuant to the provisions of an indenture (the "INDENTURE"), to be dated as of the Closing Date (as defined below), between the Company, and State Street Bank and Trust Company, as trustee (the "TRUSTEE"), pursuant to which the Notes, as provided therein, will be convertible at the option of the holders thereof into shares of the Company's common stock, par value $0.01 per share (the "COMMON STOCK"). The Notes and the Common Stock issuable upon conversion thereof are herein collectively referred to as the "SECURITIES". The Securities and the Indenture are more fully described in the Offering Memorandum (as hereinafter defined). Capitalized terms used but not defined herein shall have the meanings given to such terms in the Indenture.</w:t>
      </w:r>
    </w:p>
    <w:p>
      <w:pPr>
        <w:spacing w:after="0" w:line="364" w:lineRule="exact"/>
        <w:rPr>
          <w:sz w:val="20"/>
          <w:szCs w:val="20"/>
          <w:color w:val="auto"/>
        </w:rPr>
      </w:pPr>
    </w:p>
    <w:p>
      <w:pPr>
        <w:ind w:right="2839" w:firstLine="825"/>
        <w:spacing w:after="0" w:line="251" w:lineRule="auto"/>
        <w:tabs>
          <w:tab w:leader="none" w:pos="110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MEMORANDUM. The Notes will be offered and sold to the Initial Purchasers pursuant to one or more exemptions from the registration requirements under the Securities Act of 1933, as amended (the "ACT"). The Company has prepared a preliminary offering memorandum, dated June 12, 2000 (the "PRELIMINARY OFFERING MEMORANDUM") and a final offering memorandum, dated June 15, 2000</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3</w:t>
      </w:r>
    </w:p>
    <w:p>
      <w:pPr>
        <w:spacing w:after="0" w:line="8" w:lineRule="exact"/>
        <w:rPr>
          <w:sz w:val="20"/>
          <w:szCs w:val="20"/>
          <w:color w:val="auto"/>
        </w:rPr>
      </w:pPr>
    </w:p>
    <w:p>
      <w:pPr>
        <w:ind w:right="3219"/>
        <w:spacing w:after="0" w:line="252" w:lineRule="auto"/>
        <w:rPr>
          <w:sz w:val="20"/>
          <w:szCs w:val="20"/>
          <w:color w:val="auto"/>
        </w:rPr>
      </w:pPr>
      <w:r>
        <w:rPr>
          <w:rFonts w:ascii="Courier New" w:cs="Courier New" w:eastAsia="Courier New" w:hAnsi="Courier New"/>
          <w:sz w:val="15"/>
          <w:szCs w:val="15"/>
          <w:color w:val="auto"/>
        </w:rPr>
        <w:t>(the "OFFERING MEMORANDUM"), relating to the Notes. As used herein, the term Offering Memorandum shall include each of the documents incorporated by reference therein (the "Incorporated Documents").</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Upon original issuance thereof, and until such time as the same is no longer required pursuant to the Indenture, the Notes (and all securities issued in exchange therefor, in substitution thereof or upon conversion thereof) shall bear the following legend:</w:t>
      </w:r>
    </w:p>
    <w:p>
      <w:pPr>
        <w:spacing w:after="0" w:line="176"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"THIS NOTE (OR ITS PREDECESSOR) HAS NOT BEEN REGISTERED UNDER THE U.S. SECURITIES ACT OF 1933, AS AMENDED (THE "SECURITIES ACT"), AND ACCORDINGLY, MAY NOT BE OFFERED, SOLD, PLEDGED OR OTHERWISE TRANSFERRED WITHIN THE UNITED STATES OR TO, OR FOR THE ACCOUNT OR BENEFIT OF, U.S. PERSONS, EXCEPT AS SET FORTH IN THE NEXT SENTENCE. BY ITS ACQUISITION HEREOF OR OF A BENEFICIAL INTEREST HEREIN, THE HOLDER:</w:t>
      </w:r>
    </w:p>
    <w:p>
      <w:pPr>
        <w:spacing w:after="0" w:line="176" w:lineRule="exact"/>
        <w:rPr>
          <w:sz w:val="20"/>
          <w:szCs w:val="20"/>
          <w:color w:val="auto"/>
        </w:rPr>
      </w:pPr>
    </w:p>
    <w:p>
      <w:pPr>
        <w:ind w:left="1660" w:hanging="374"/>
        <w:spacing w:after="0"/>
        <w:tabs>
          <w:tab w:leader="none" w:pos="16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THAT (A) IT IS A QUALIFIED INSTITUTIONAL BUYER, or</w:t>
      </w:r>
    </w:p>
    <w:p>
      <w:pPr>
        <w:spacing w:after="0" w:line="7" w:lineRule="exact"/>
        <w:rPr>
          <w:rFonts w:ascii="Courier New" w:cs="Courier New" w:eastAsia="Courier New" w:hAnsi="Courier New"/>
          <w:sz w:val="15"/>
          <w:szCs w:val="15"/>
          <w:color w:val="auto"/>
        </w:rPr>
      </w:pPr>
    </w:p>
    <w:p>
      <w:pPr>
        <w:ind w:left="1280"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"QIB" (AS DEFINED IN RULE 144A UNDER THE SECURITIES ACT), (B) IT HAS ACQUIRED THIS SECURITY IN AN OFFSHORE TRANSACTION IN COMPLIANCE WITH REGULATION S UNDER THE SECURITIES ACT OR (C) IT IS AN INSTITUTIONAL "ACCREDITED INVESTOR" (AS DEFINED IN RULE 501(A)(1), (2), (3) OR (7) UNDER THE SECURITIES ACT),</w:t>
      </w:r>
    </w:p>
    <w:p>
      <w:pPr>
        <w:spacing w:after="0" w:line="176" w:lineRule="exact"/>
        <w:rPr>
          <w:rFonts w:ascii="Courier New" w:cs="Courier New" w:eastAsia="Courier New" w:hAnsi="Courier New"/>
          <w:sz w:val="15"/>
          <w:szCs w:val="15"/>
          <w:color w:val="auto"/>
        </w:rPr>
      </w:pPr>
    </w:p>
    <w:p>
      <w:pPr>
        <w:ind w:left="1280" w:right="2839" w:firstLine="6"/>
        <w:spacing w:after="0" w:line="250" w:lineRule="auto"/>
        <w:tabs>
          <w:tab w:leader="none" w:pos="16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IT WILL NOT RESELL OR OTHERWISE TRANSFER THIS SECURITY EXCEPT (A) TO THE COMPANY OR ANY OF ITS SUBSIDIARIES, (B) TO A PERSON WHOM THE SELLER REASONABLY BELIEVES IS A QIB PURCHASING FOR ITS OWN ACCOUNT OR FOR THE ACCOUNT OF A QIB IN A TRANSACTION MEETING THE REQUIREMENTS OF RULE 144A, (C) IN AN OFFSHORE TRANSACTION MEETING THE REQUIREMENTS OF RULE 904 OF THE SECURITIES ACT, (D) IN A TRANSACTION MEETING THE REQUIREMENTS OF RULE 144 UNDER THE SECURITIES ACT, (E) TO AN INSTITUTIONAL "ACCREDITED INVESTOR" THAT, PRIOR TO SUCH TRANSFER, FURNISHES THE TRUSTEE A SIGNED LETTER CONTAINING CERTAIN REPRESENTATIONS AND AGREEMENTS RELATING TO THE TRANSFER OF THIS SECURITY (THE FORM OF WHICH CAN BE OBTAINED FROM THE TRUSTEE) AND, IF THE COMPANY SO REQUESTS AN OPINION OF COUNSEL ACCEPTABLE TO THE COMPANY THAT SUCH TRANSFER IS IN COMPLIANCE WITH THE SECURITIES ACT, (F) IN ACCORDANCE WITH ANOTHER EXEMPTION FROM THE REGISTRATION REQUIREMENTS OF THE SECURITIES ACT (AND BASED UPON AN OPINION OF COUNSEL ACCEPTABLE TO THE COMPANY) OR (G) PURSUANT TO AN EFFECTIVE REGISTRATION STATEMENT AND, IN EACH CASE, IN ACCORDANCE WITH THE APPLICABLE SECURITIES LAWS OF ANY STATE OF THE UNITED STATES OR ANY OTHER APPLICABLE JURISDICTION; AND</w:t>
      </w:r>
    </w:p>
    <w:p>
      <w:pPr>
        <w:spacing w:after="0" w:line="186" w:lineRule="exact"/>
        <w:rPr>
          <w:rFonts w:ascii="Courier New" w:cs="Courier New" w:eastAsia="Courier New" w:hAnsi="Courier New"/>
          <w:sz w:val="15"/>
          <w:szCs w:val="15"/>
          <w:color w:val="auto"/>
        </w:rPr>
      </w:pPr>
    </w:p>
    <w:p>
      <w:pPr>
        <w:ind w:left="1280" w:right="3479" w:firstLine="6"/>
        <w:spacing w:after="0" w:line="252" w:lineRule="auto"/>
        <w:tabs>
          <w:tab w:leader="none" w:pos="16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IT WILL DELIVER TO EACH PERSON TO WHOM THIS SECURITY OR AN INTEREST HEREIN IS TRANSFERRED A NOTICE SUBSTANTIALLY TO THE EFFECT OF THIS LEGEND.</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AS USED HEREIN, THE TERMS "OFFSHORE TRANSACTION" AND "UNITED STATES"</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HAVE THE MEANINGS GIVEN TO THEM BY RULE 902 OF</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4</w:t>
      </w:r>
    </w:p>
    <w:p>
      <w:pPr>
        <w:spacing w:after="0" w:line="8" w:lineRule="exact"/>
        <w:rPr>
          <w:sz w:val="20"/>
          <w:szCs w:val="20"/>
          <w:color w:val="auto"/>
        </w:rPr>
      </w:pPr>
    </w:p>
    <w:p>
      <w:pPr>
        <w:ind w:left="820" w:right="3019"/>
        <w:spacing w:after="0" w:line="252" w:lineRule="auto"/>
        <w:rPr>
          <w:sz w:val="20"/>
          <w:szCs w:val="20"/>
          <w:color w:val="auto"/>
        </w:rPr>
      </w:pPr>
      <w:r>
        <w:rPr>
          <w:rFonts w:ascii="Courier New" w:cs="Courier New" w:eastAsia="Courier New" w:hAnsi="Courier New"/>
          <w:sz w:val="15"/>
          <w:szCs w:val="15"/>
          <w:color w:val="auto"/>
        </w:rPr>
        <w:t>REGULATION S UNDER THE SECURITIES ACT. THE INDENTURE CONTAINS A PROVISION REQUIRING THE TRUSTEE TO REFUSE TO REGISTER ANY TRANSFER OF THIS NOTE IN VIOLATION OF THE FOREGOING."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60" w:hanging="835"/>
        <w:spacing w:after="0"/>
        <w:tabs>
          <w:tab w:leader="none" w:pos="16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TO SELL AND PURCHASE.</w:t>
      </w:r>
    </w:p>
    <w:p>
      <w:pPr>
        <w:spacing w:after="0" w:line="184" w:lineRule="exact"/>
        <w:rPr>
          <w:rFonts w:ascii="Courier New" w:cs="Courier New" w:eastAsia="Courier New" w:hAnsi="Courier New"/>
          <w:sz w:val="15"/>
          <w:szCs w:val="15"/>
          <w:color w:val="auto"/>
        </w:rPr>
      </w:pPr>
    </w:p>
    <w:p>
      <w:pPr>
        <w:ind w:right="2839" w:firstLine="1655"/>
        <w:spacing w:after="0" w:line="251" w:lineRule="auto"/>
        <w:tabs>
          <w:tab w:leader="none" w:pos="2491"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basis of the representations, warranties and covenants contained in this Agreement, and subject to the terms and conditions contained herein, the Company agrees to issue and sell to the Initial Purchasers, and the Initial Purchasers agree, severally and not jointly, to purchase from the Company, the principal amount of Firm Notes set forth opposite its name as set forth on Schedule A hereto at a purchase price equal to 97% of the principal amount thereof (the "Purchase Price").</w:t>
      </w:r>
    </w:p>
    <w:p>
      <w:pPr>
        <w:spacing w:after="0" w:line="175" w:lineRule="exact"/>
        <w:rPr>
          <w:rFonts w:ascii="Courier New" w:cs="Courier New" w:eastAsia="Courier New" w:hAnsi="Courier New"/>
          <w:sz w:val="15"/>
          <w:szCs w:val="15"/>
          <w:color w:val="auto"/>
        </w:rPr>
      </w:pPr>
    </w:p>
    <w:p>
      <w:pPr>
        <w:ind w:right="2839" w:firstLine="1655"/>
        <w:spacing w:after="0" w:line="250" w:lineRule="auto"/>
        <w:tabs>
          <w:tab w:leader="none" w:pos="2491"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basis of the representations and warranties contained in this Agreement, and subject to its terms and conditions, (i) the Company agrees to issue and sell the Additional Notes and (ii) the Initial Purchasers shall have a right, but not the obligation, to purchase, severally and not jointly, the Additional Notes, from the Company at the Purchase Price. Additional Notes may be purchased solely for the purpose of covering over-allotments made in connections with the Offering of the Firm Notes. The Initial Purchasers may exercise their right to purchase Additional Notes at one time in whole or in part by giving written notice thereof to the Company at any time within 30 days after the date of this Agreement. Donaldson, Lufkin &amp; Jenrette Securities Corporation shall give any such notice on behalf of the Initial Purchasers and such notice shall specify the aggregate principal amount of Additional Notes to be purchased pursuant to such exercise and the date for payment and delivery thereof. The date specified in any such notice shall be a business day (i) no earlier than the Closing Date (as hereinafter defined), (ii) no later than ten business days after such notice has been given and (iii) no earlier than two business days after such notice has been given. If any Additional Notes are to be purchased, each Initial Purchaser, severally and not jointly, agrees to purchase from the Company the principal amount of Additional Notes which bears the same proportion to the total principal amount of Additional Notes to be purchased from the Company as the principal amount of Firm Notes set forth opposite the name of such Initial Purchaser in Schedule A bears to the total principal amount of Firm Notes.</w:t>
      </w:r>
    </w:p>
    <w:p>
      <w:pPr>
        <w:spacing w:after="0" w:line="187" w:lineRule="exact"/>
        <w:rPr>
          <w:rFonts w:ascii="Courier New" w:cs="Courier New" w:eastAsia="Courier New" w:hAnsi="Courier New"/>
          <w:sz w:val="15"/>
          <w:szCs w:val="15"/>
          <w:color w:val="auto"/>
        </w:rPr>
      </w:pPr>
    </w:p>
    <w:p>
      <w:pPr>
        <w:ind w:right="2839" w:firstLine="825"/>
        <w:spacing w:after="0" w:line="250" w:lineRule="auto"/>
        <w:tabs>
          <w:tab w:leader="none" w:pos="16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OFFERING. The Initial Purchasers have advised the Company that the Initial Purchasers will make offers (the "EXEMPT RESALES") of the Notes purchased hereunder on the terms set forth in the Offering Memorandum, as amended or supplemented, solely to persons whom the Initial Purchaser reasonably believe to be "qualified institutional buyers" as defined in Rule 144A under the Act ("QIBS") and (ii) not more than five (5) other institutional "accredited investors," as defined in Rule 501(a) (1),(2),(3) or (7) under the Act, that make certain representations and agreements to the Company (each, an "ACCREDITED INSTITUTION"), (such persons specified in clauses (i) and (ii) being referred to herein as the "ELIGIBLE PURCHASERS"). The Initial Purchasers will offer the Notes to Eligible Purchasers initially at a price equal to 100% of the principal amount thereof. Such price may be changed at any time without notice.</w:t>
      </w:r>
    </w:p>
    <w:p>
      <w:pPr>
        <w:spacing w:after="0" w:line="183"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Holders (including subsequent transferees) of the Securities will have the registration rights set forth in the registration rights agreement (the "REGISTRATION RIGHTS AGREEMENT"), to be dated the Closing Date, in substantially the form of Exhibit A hereto, for so long as such Securities constitute "TRANSFER RESTRICTED SECURITIES" (as defined in the Registration Rights Agreement). Pursuant to the Registration Rights Agreement, the Company will agree to file with the Securities and Exchange Commission (the "COMMISSION") under the circumstances set forth therein, a shelf registration statement pursuant to Rule 415 under the Act (the "REGISTRATION STATEMENT") relating to the resale by certain holders of the Securities and to use its reasonable best efforts to cause such Registration Statements to be</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5"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5</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declared and remain effective and usable for the periods specified in the Registration Rights Agreement. This Agreement, the Indenture, the Notes, and the Registration Rights Agreement are hereinafter sometimes referred to collectively as the "OPERATIVE DOCUMENTS"</w:t>
      </w:r>
    </w:p>
    <w:p>
      <w:pPr>
        <w:spacing w:after="0" w:line="176" w:lineRule="exact"/>
        <w:rPr>
          <w:sz w:val="20"/>
          <w:szCs w:val="20"/>
          <w:color w:val="auto"/>
        </w:rPr>
      </w:pPr>
    </w:p>
    <w:p>
      <w:pPr>
        <w:ind w:left="1660" w:hanging="835"/>
        <w:spacing w:after="0"/>
        <w:tabs>
          <w:tab w:leader="none" w:pos="16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AND PAYMENT</w:t>
      </w:r>
    </w:p>
    <w:p>
      <w:pPr>
        <w:spacing w:after="0" w:line="184" w:lineRule="exact"/>
        <w:rPr>
          <w:rFonts w:ascii="Courier New" w:cs="Courier New" w:eastAsia="Courier New" w:hAnsi="Courier New"/>
          <w:sz w:val="15"/>
          <w:szCs w:val="15"/>
          <w:color w:val="auto"/>
        </w:rPr>
      </w:pPr>
    </w:p>
    <w:p>
      <w:pPr>
        <w:ind w:right="2939" w:firstLine="1655"/>
        <w:spacing w:after="0" w:line="251" w:lineRule="auto"/>
        <w:tabs>
          <w:tab w:leader="none" w:pos="2491"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and payment of the Purchase Price for, the Firm Notes shall be made at the offices of Hale and Dorr LLP or such other location as may be mutually acceptable. Such delivery and payment shall be made at 9:00 a.m. New York City time, on June 20, 2000 or at such other time on the same date or such other date as shall be agreed upon by the Initial Purchasers and the Company shall agree in writing. The time and date of such delivery and the payment for the Firm Notes are herein called the "CLOSING DATE".</w:t>
      </w:r>
    </w:p>
    <w:p>
      <w:pPr>
        <w:spacing w:after="0" w:line="175" w:lineRule="exact"/>
        <w:rPr>
          <w:rFonts w:ascii="Courier New" w:cs="Courier New" w:eastAsia="Courier New" w:hAnsi="Courier New"/>
          <w:sz w:val="15"/>
          <w:szCs w:val="15"/>
          <w:color w:val="auto"/>
        </w:rPr>
      </w:pPr>
    </w:p>
    <w:p>
      <w:pPr>
        <w:ind w:right="2839" w:firstLine="1655"/>
        <w:spacing w:after="0" w:line="251" w:lineRule="auto"/>
        <w:tabs>
          <w:tab w:leader="none" w:pos="2491"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and payment for, any Additional Notes to be purchased by the Initial Purchasers shall be made at the offices of Hale and Dorr LLP at 9:00 a.m. New York City time, on the date specified in the exercise notice given by Donaldson, Lufkin &amp; Jenrette Securities Corporation pursuant to Section 2(b) or such other time on the same or such other date as the Initial Purchasers and the Company shall agree in writing. The time and date of delivery and payment for any Additional Notes are hereinafter referred to as an "OPTION CLOSING DATE".</w:t>
      </w:r>
    </w:p>
    <w:p>
      <w:pPr>
        <w:spacing w:after="0" w:line="175" w:lineRule="exact"/>
        <w:rPr>
          <w:rFonts w:ascii="Courier New" w:cs="Courier New" w:eastAsia="Courier New" w:hAnsi="Courier New"/>
          <w:sz w:val="15"/>
          <w:szCs w:val="15"/>
          <w:color w:val="auto"/>
        </w:rPr>
      </w:pPr>
    </w:p>
    <w:p>
      <w:pPr>
        <w:ind w:right="2839" w:firstLine="1655"/>
        <w:spacing w:after="0" w:line="250" w:lineRule="auto"/>
        <w:tabs>
          <w:tab w:leader="none" w:pos="2491"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of the Notes in definitive global form, registered in the name of Cede &amp; Co., as nominee of the Depository Trust Company ("DTC"), having an aggregate principal amount corresponding to the aggregate principal amount of the Notes (collectively, the "GLOBAL NOTE"), shall be delivered by the Company to the Initial Purchasers (or as the Initial Purchasers direct), in each case with any transfer taxes thereon payable in connection with the transfer of the Notes to the Initial Purchasers duly paid by the Company, against payment by the Initial Purchasers of the Purchase Price thereof by wire transfer in same day funds to the order of the Company. The Global Note shall be made available to the Initial Purchasers for inspection not later than 9:30 a.m., New York City time, on the business day immediately preceding the Closing Date.</w:t>
      </w:r>
    </w:p>
    <w:p>
      <w:pPr>
        <w:spacing w:after="0" w:line="359" w:lineRule="exact"/>
        <w:rPr>
          <w:rFonts w:ascii="Courier New" w:cs="Courier New" w:eastAsia="Courier New" w:hAnsi="Courier New"/>
          <w:sz w:val="15"/>
          <w:szCs w:val="15"/>
          <w:color w:val="auto"/>
        </w:rPr>
      </w:pPr>
    </w:p>
    <w:p>
      <w:pPr>
        <w:ind w:right="2839" w:firstLine="825"/>
        <w:spacing w:after="0" w:line="253" w:lineRule="auto"/>
        <w:tabs>
          <w:tab w:leader="none" w:pos="110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OF THE COMPANY The Company hereby agrees with the Initial Purchasers as follows:</w:t>
      </w:r>
    </w:p>
    <w:p>
      <w:pPr>
        <w:spacing w:after="0" w:line="174" w:lineRule="exact"/>
        <w:rPr>
          <w:rFonts w:ascii="Courier New" w:cs="Courier New" w:eastAsia="Courier New" w:hAnsi="Courier New"/>
          <w:sz w:val="15"/>
          <w:szCs w:val="15"/>
          <w:color w:val="auto"/>
        </w:rPr>
      </w:pPr>
    </w:p>
    <w:p>
      <w:pPr>
        <w:ind w:right="2939" w:firstLine="1655"/>
        <w:spacing w:after="0" w:line="250" w:lineRule="auto"/>
        <w:tabs>
          <w:tab w:leader="none" w:pos="2491"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advise the Initial Purchasers promptly upon receipt by the Company of written notice, and, if requested by the Initial Purchasers, confirm such advice in writing, (i) of the issuance by any state securities commission of any stop order suspending the qualification or exemption from qualification of any Notes for offering or sale in any jurisdiction designated by the Initial Purchasers pursuant to Section 5(e) hereof, or the initiation of any proceeding by any state securities commission or any other federal or state regulatory authority for such purpose and (ii) of the happening of any event during the period referred to in Section 5(c) below that makes any statement of a material fact made in the Offering Memorandum untrue or that requires any additions to or changes in the Offering Memorandum in order to make the statements therein, in light of the circumstances under which they were made, not misleading. The Company shall use its best efforts to prevent the issuance of any stop order or order suspending the qualification or exemption of any Notes under any state securities or Blue Sky laws and, if at any time any state securities commission or other federal or state regulatory authority shall issue an order suspending the qualification or exemption of any Notes under any state securities or Blue Sky laws, the Company shall use its best efforts to obtain the withdrawal or lifting of such order at the earliest possible time.</w:t>
      </w:r>
    </w:p>
    <w:p>
      <w:pPr>
        <w:spacing w:after="0" w:line="18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5"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6</w:t>
      </w:r>
    </w:p>
    <w:p>
      <w:pPr>
        <w:spacing w:after="0" w:line="8" w:lineRule="exact"/>
        <w:rPr>
          <w:sz w:val="20"/>
          <w:szCs w:val="20"/>
          <w:color w:val="auto"/>
        </w:rPr>
      </w:pPr>
    </w:p>
    <w:p>
      <w:pPr>
        <w:ind w:left="2480" w:hanging="825"/>
        <w:spacing w:after="0"/>
        <w:tabs>
          <w:tab w:leader="none" w:pos="24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the Initial Purchasers and those persons</w:t>
      </w:r>
    </w:p>
    <w:p>
      <w:pPr>
        <w:spacing w:after="0" w:line="7" w:lineRule="exact"/>
        <w:rPr>
          <w:rFonts w:ascii="Courier New" w:cs="Courier New" w:eastAsia="Courier New" w:hAnsi="Courier New"/>
          <w:sz w:val="15"/>
          <w:szCs w:val="15"/>
          <w:color w:val="auto"/>
        </w:rPr>
      </w:pPr>
    </w:p>
    <w:p>
      <w:pPr>
        <w:ind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by the Initial Purchasers to the Company as many copies of the Preliminary Offering Memorandum and the Offering Memorandum, and any amendments or supplements thereto, as the Initial Purchasers may reasonably request for the time period specified in Section 5(c). Subject to the Initial Purchasers' compliance with its representations and warranties and agreements set forth in Section 7 hereof, the Company consents to the use of the Preliminary Offering Memorandum and the Offering Memorandum, and any amendments and supplements thereto required pursuant hereto, by the Initial Purchasers in connection with Exempt Resales.</w:t>
      </w:r>
    </w:p>
    <w:p>
      <w:pPr>
        <w:spacing w:after="0" w:line="175" w:lineRule="exact"/>
        <w:rPr>
          <w:rFonts w:ascii="Courier New" w:cs="Courier New" w:eastAsia="Courier New" w:hAnsi="Courier New"/>
          <w:sz w:val="15"/>
          <w:szCs w:val="15"/>
          <w:color w:val="auto"/>
        </w:rPr>
      </w:pPr>
    </w:p>
    <w:p>
      <w:pPr>
        <w:ind w:right="2839" w:firstLine="1655"/>
        <w:spacing w:after="0" w:line="250" w:lineRule="auto"/>
        <w:tabs>
          <w:tab w:leader="none" w:pos="249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period as in the opinion of counsel for the Initial Purchasers an Offering Memorandum is required by law to be delivered in connection with Exempt Resales by the Initial Purchasers (i) not to make any amendment or supplement to the Offering Memorandum of which the Initial Purchasers shall not previously have been advised or to which the Initial Purchasers shall reasonably object after being so advised and (ii) to prepare promptly upon the Initial Purchasers' reasonable request, any amendment or supplement to the Offering Memorandum which may be necessary or advisable in connection with such Exempt Resales in order to make the statements therein, in light of the circumstances under which they were made, not misleading or as necessary to comply with applicable law.</w:t>
      </w:r>
    </w:p>
    <w:p>
      <w:pPr>
        <w:spacing w:after="0" w:line="182" w:lineRule="exact"/>
        <w:rPr>
          <w:rFonts w:ascii="Courier New" w:cs="Courier New" w:eastAsia="Courier New" w:hAnsi="Courier New"/>
          <w:sz w:val="15"/>
          <w:szCs w:val="15"/>
          <w:color w:val="auto"/>
        </w:rPr>
      </w:pPr>
    </w:p>
    <w:p>
      <w:pPr>
        <w:ind w:right="2839" w:firstLine="1655"/>
        <w:spacing w:after="0" w:line="250" w:lineRule="auto"/>
        <w:tabs>
          <w:tab w:leader="none" w:pos="249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the period referred to in Section 5(c) above, any event shall occur or condition shall exist as a result of which, in the opinion of counsel to the Initial Purchasers, it becomes necessary to amend or supplement the Offering Memorandum in order to make the statements therein, in the light of the circumstances when such Offering Memorandum is delivered to an Eligible Purchaser, not misleading, or if, in the opinion of counsel to the Initial Purchasers, it is necessary to amend or supplement the Offering Memorandum to comply with any applicable law, forthwith to prepare an appropriate amendment or supplement to such Offering Memorandum so that the statements therein, as so amended or supplemented, will not, in the light of the circumstances when it is so delivered, be misleading, or so that such Offering Memorandum will comply with applicable law, and to furnish to the Initial Purchasers and such other persons as the Initial Purchasers may designate such number of copies thereof as the Initial Purchasers may reasonably request.</w:t>
      </w:r>
    </w:p>
    <w:p>
      <w:pPr>
        <w:spacing w:after="0" w:line="183" w:lineRule="exact"/>
        <w:rPr>
          <w:rFonts w:ascii="Courier New" w:cs="Courier New" w:eastAsia="Courier New" w:hAnsi="Courier New"/>
          <w:sz w:val="15"/>
          <w:szCs w:val="15"/>
          <w:color w:val="auto"/>
        </w:rPr>
      </w:pPr>
    </w:p>
    <w:p>
      <w:pPr>
        <w:ind w:right="3019" w:firstLine="1655"/>
        <w:spacing w:after="0" w:line="250" w:lineRule="auto"/>
        <w:tabs>
          <w:tab w:leader="none" w:pos="249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sale of all Notes pursuant to Exempt Resales as contemplated hereby, to cooperate with the Initial Purchasers and counsel to the Initial Purchasers in connection with the registration or qualification of the Notes for offer and sale to the Initial Purchasers and pursuant to Exempt Resales under the securities or Blue Sky laws of such jurisdictions as the Initial Purchasers may request and to continue such registration or qualification in effect so long as required for Exempt Resales and to file such consents to service of process or other documents as may be necessary in order to effect such registration or qualification; provided, however, that the Company shall not be required in connection therewith to qualify as a foreign corporation in any jurisdiction in which it is not now so qualified or to take any action that would subject it to general consent to service of process or taxation other than as to matters and transactions relating to the Preliminary Offering Memorandum, the Offering Memorandum or Exempt Resales, in any jurisdiction in which it is not now so subject.</w:t>
      </w:r>
    </w:p>
    <w:p>
      <w:pPr>
        <w:spacing w:after="0" w:line="184" w:lineRule="exact"/>
        <w:rPr>
          <w:rFonts w:ascii="Courier New" w:cs="Courier New" w:eastAsia="Courier New" w:hAnsi="Courier New"/>
          <w:sz w:val="15"/>
          <w:szCs w:val="15"/>
          <w:color w:val="auto"/>
        </w:rPr>
      </w:pPr>
    </w:p>
    <w:p>
      <w:pPr>
        <w:ind w:left="2480" w:hanging="825"/>
        <w:spacing w:after="0"/>
        <w:tabs>
          <w:tab w:leader="none" w:pos="24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the Notes are outstanding, (i) to mail and</w:t>
      </w:r>
    </w:p>
    <w:p>
      <w:pPr>
        <w:spacing w:after="0" w:line="7" w:lineRule="exact"/>
        <w:rPr>
          <w:rFonts w:ascii="Courier New" w:cs="Courier New" w:eastAsia="Courier New" w:hAnsi="Courier New"/>
          <w:sz w:val="15"/>
          <w:szCs w:val="15"/>
          <w:color w:val="auto"/>
        </w:rPr>
      </w:pPr>
    </w:p>
    <w:p>
      <w:pPr>
        <w:ind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make generally available as soon as practicable after the end of each fiscal year to the record holders of the Notes a financial report of the Company and its subsidiaries on a consolidated basis (and a similar financial report of all unconsolidated subsidiaries, if any), all such financial reports to include a consolidated balance sheet, a consolidated statement of operations, a consolidated statement of cash flows and a consolidated statement of shareholders' equity as of the end of and for such fiscal year, together with comparable information as of the end of and for the preceding year, certified by the Company's independent public accountants and (ii) to mail and make generally available as soon as practicable after the end of each quarterly period (except for the last quarterly period of each fiscal year) to such holders, a consolidated balance sheet, a consolidated</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5"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7</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statement of operations and a consolidated statement of cash flows (and similar financial reports of all unconsolidated subsidiaries, if any) as of the end of and for such period, and for the period from the beginning of such year to the close of such quarterly period, together with comparable information for the corresponding periods of the preceding year.</w:t>
      </w:r>
    </w:p>
    <w:p>
      <w:pPr>
        <w:spacing w:after="0" w:line="176" w:lineRule="exact"/>
        <w:rPr>
          <w:sz w:val="20"/>
          <w:szCs w:val="20"/>
          <w:color w:val="auto"/>
        </w:rPr>
      </w:pPr>
    </w:p>
    <w:p>
      <w:pPr>
        <w:ind w:right="2839" w:firstLine="1655"/>
        <w:spacing w:after="0" w:line="251" w:lineRule="auto"/>
        <w:tabs>
          <w:tab w:leader="none" w:pos="249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the Notes are outstanding, to furnish to the Initial Purchasers, upon their reasonable request, copies of all reports or other communications furnished by the Company to its security holders or furnished to or filed with the Commission or any national securities exchange on which any class of securities of the Company is listed and such other publicly available information concerning the Company and/or its subsidiaries as the Initial Purchasers may reasonably request.</w:t>
      </w:r>
    </w:p>
    <w:p>
      <w:pPr>
        <w:spacing w:after="0" w:line="175" w:lineRule="exact"/>
        <w:rPr>
          <w:rFonts w:ascii="Courier New" w:cs="Courier New" w:eastAsia="Courier New" w:hAnsi="Courier New"/>
          <w:sz w:val="15"/>
          <w:szCs w:val="15"/>
          <w:color w:val="auto"/>
        </w:rPr>
      </w:pPr>
    </w:p>
    <w:p>
      <w:pPr>
        <w:ind w:right="2939" w:firstLine="1655"/>
        <w:spacing w:after="0" w:line="251" w:lineRule="auto"/>
        <w:tabs>
          <w:tab w:leader="none" w:pos="249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any of the Notes remain outstanding and during any period in which the Company is not subject to Section 13 or 15(d) of the Securities Exchange Act of 1934, as amended (the "EXCHANGE ACT"), to make available to any holder of Securities in connection with any sale thereof and any prospective purchaser of such Securities from such holder, the information ("RULE 144A INFORMATION") required by Rule 144A(d)(4) under the Act.</w:t>
      </w:r>
    </w:p>
    <w:p>
      <w:pPr>
        <w:spacing w:after="0" w:line="175" w:lineRule="exact"/>
        <w:rPr>
          <w:rFonts w:ascii="Courier New" w:cs="Courier New" w:eastAsia="Courier New" w:hAnsi="Courier New"/>
          <w:sz w:val="15"/>
          <w:szCs w:val="15"/>
          <w:color w:val="auto"/>
        </w:rPr>
      </w:pPr>
    </w:p>
    <w:p>
      <w:pPr>
        <w:ind w:right="2839" w:firstLine="1655"/>
        <w:spacing w:after="0" w:line="250" w:lineRule="auto"/>
        <w:tabs>
          <w:tab w:leader="none" w:pos="249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transactions contemplated in this Agreement are consummated or this Agreement is terminated, to pay or cause to be paid all expenses incident to the performance of the obligations of the Company under this Agreement, including: (i) the fees, disbursements and expenses of counsel to the Company and accountants of the Company in connection with the sale and delivery of the Notes to the Initial Purchasers and pursuant to Exempt Resales, and all other fees and expenses in connection with the preparation, printing, filing and distribution of the Preliminary Offering Memorandum, the Offering Memorandum and all amendments and supplements to any of the foregoing (including financial statements), including the mailing and delivering of copies thereof to the Initial Purchasers and persons designated by them in the quantities specified herein, (ii) all costs and expenses related to the transfer and delivery of the Notes to the Initial Purchasers, including any transfer or other taxes payable thereon, (iii) all costs of printing or producing this Agreement and the other Operative Documents, (iv) all expenses in connection with the registration or qualification of the Securities for offer and sale under the securities or Blue Sky laws of the several states and all costs of printing or producing any preliminary and supplemental Blue Sky memoranda in connection therewith (including the filing fees and fees and disbursements of counsel for the Initial Purchasers in connection with such registration or qualification and memoranda relating thereto), (v) the cost of printing certificates representing the Securities, (vi) all expenses and listing fees in connection with the application for quotation of the Notes in the National Association of Securities Dealers, Inc. ("NASD") Automated Quotation System - PORTAL ("PORTAL"), (vii) the fees and expenses of the Trustee and the Trustee's counsel in connection with the Indenture and the Notes, (viii) the costs and charges of any transfer agent, registrar and/or depositary (including DTC), (ix) any fees charged by rating agencies for the rating of the Notes, (x) all costs and expenses of the Registration Statement, on the terms set forth in the Registration Rights Agreement, (xi) all expenses and listing fees in connection with the application for listing the Common Stock on the NASDAQ National Market and (xii) and all other costs and expenses incident to the performance of the obligations of the Company hereunder for which provision is not otherwise made in this Section. It is understood, however, that except as provided in this Section, Section 8, and Section 11, the Initial Purchasers will pay all of its costs and expenses, including fees and disbursements of its counsel, transfer taxes payable on resale of any of the Notes by them and any advertising expenses connected with any offers it may make.</w:t>
      </w:r>
    </w:p>
    <w:p>
      <w:pPr>
        <w:spacing w:after="0" w:line="194" w:lineRule="exact"/>
        <w:rPr>
          <w:rFonts w:ascii="Courier New" w:cs="Courier New" w:eastAsia="Courier New" w:hAnsi="Courier New"/>
          <w:sz w:val="15"/>
          <w:szCs w:val="15"/>
          <w:color w:val="auto"/>
        </w:rPr>
      </w:pPr>
    </w:p>
    <w:p>
      <w:pPr>
        <w:ind w:left="2480" w:hanging="825"/>
        <w:spacing w:after="0"/>
        <w:tabs>
          <w:tab w:leader="none" w:pos="24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reasonable best efforts to effect the</w:t>
      </w:r>
    </w:p>
    <w:p>
      <w:pPr>
        <w:spacing w:after="0" w:line="7" w:lineRule="exact"/>
        <w:rPr>
          <w:rFonts w:ascii="Courier New" w:cs="Courier New" w:eastAsia="Courier New" w:hAnsi="Courier New"/>
          <w:sz w:val="15"/>
          <w:szCs w:val="15"/>
          <w:color w:val="auto"/>
        </w:rPr>
      </w:pPr>
    </w:p>
    <w:p>
      <w:pPr>
        <w:ind w:right="32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inclusion of the Notes in PORTAL and to maintain the listing of the Notes on PORTAL for so long as the Notes are outstanding.</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5" w:right="1440" w:bottom="1440" w:gutter="0" w:footer="0" w:header="0"/>
        </w:sectPr>
      </w:pPr>
    </w:p>
    <w:bookmarkStart w:id="14" w:name="page15"/>
    <w:bookmarkEnd w:id="14"/>
    <w:p>
      <w:pPr>
        <w:ind w:left="285"/>
        <w:spacing w:after="0"/>
        <w:rPr>
          <w:sz w:val="20"/>
          <w:szCs w:val="20"/>
          <w:color w:val="auto"/>
        </w:rPr>
      </w:pPr>
      <w:r>
        <w:rPr>
          <w:rFonts w:ascii="Courier New" w:cs="Courier New" w:eastAsia="Courier New" w:hAnsi="Courier New"/>
          <w:sz w:val="15"/>
          <w:szCs w:val="15"/>
          <w:color w:val="auto"/>
        </w:rPr>
        <w:t>8</w:t>
      </w:r>
    </w:p>
    <w:p>
      <w:pPr>
        <w:spacing w:after="0" w:line="8" w:lineRule="exact"/>
        <w:rPr>
          <w:sz w:val="20"/>
          <w:szCs w:val="20"/>
          <w:color w:val="auto"/>
        </w:rPr>
      </w:pPr>
    </w:p>
    <w:p>
      <w:pPr>
        <w:ind w:left="5" w:right="2839" w:firstLine="1655"/>
        <w:spacing w:after="0" w:line="251" w:lineRule="auto"/>
        <w:tabs>
          <w:tab w:leader="none" w:pos="2497"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the approval of DTC for "book-entry" transfer of the Notes, and to comply with all of its agreements set forth in the representation letters of the Company to DTC relating to the approval of the Notes by DTC for "book-entry" transfer.</w:t>
      </w:r>
    </w:p>
    <w:p>
      <w:pPr>
        <w:spacing w:after="0" w:line="176" w:lineRule="exact"/>
        <w:rPr>
          <w:rFonts w:ascii="Courier New" w:cs="Courier New" w:eastAsia="Courier New" w:hAnsi="Courier New"/>
          <w:sz w:val="15"/>
          <w:szCs w:val="15"/>
          <w:color w:val="auto"/>
        </w:rPr>
      </w:pPr>
    </w:p>
    <w:p>
      <w:pPr>
        <w:ind w:left="2485" w:hanging="825"/>
        <w:spacing w:after="0"/>
        <w:tabs>
          <w:tab w:leader="none" w:pos="2485"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cause the Common Stock issuable upon conversion of</w:t>
      </w:r>
    </w:p>
    <w:p>
      <w:pPr>
        <w:spacing w:after="0" w:line="7" w:lineRule="exact"/>
        <w:rPr>
          <w:rFonts w:ascii="Courier New" w:cs="Courier New" w:eastAsia="Courier New" w:hAnsi="Courier New"/>
          <w:sz w:val="15"/>
          <w:szCs w:val="15"/>
          <w:color w:val="auto"/>
        </w:rPr>
      </w:pPr>
    </w:p>
    <w:p>
      <w:pPr>
        <w:ind w:left="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to be duly included for quotation on the Nasdaq Stock Market's National Market (the "NASDAQ NATIONAL MARKET") prior to the Firm Closing Date subject to notice of official issuance. The Company will use its reasonable best efforts that such Common Stock remain included for quotation on the Nasdaq National Market or any other national securities exchange following the Firm Closing Date for so long as any shares of Common Stock remain registered under the Exchange Act.</w:t>
      </w:r>
    </w:p>
    <w:p>
      <w:pPr>
        <w:spacing w:after="0" w:line="175" w:lineRule="exact"/>
        <w:rPr>
          <w:rFonts w:ascii="Courier New" w:cs="Courier New" w:eastAsia="Courier New" w:hAnsi="Courier New"/>
          <w:sz w:val="15"/>
          <w:szCs w:val="15"/>
          <w:color w:val="auto"/>
        </w:rPr>
      </w:pPr>
    </w:p>
    <w:p>
      <w:pPr>
        <w:ind w:left="5" w:right="2839" w:firstLine="1655"/>
        <w:spacing w:after="0" w:line="250" w:lineRule="auto"/>
        <w:tabs>
          <w:tab w:leader="none" w:pos="2497"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(i)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 (ii) enter into any swap or other arrangement that transfers all or a portion of the economic consequences associated with the ownership of any Common Stock (regardless of whether any of the transactions described in clause</w:t>
      </w:r>
    </w:p>
    <w:p>
      <w:pPr>
        <w:spacing w:after="0" w:line="3"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 is to be settled by the delivery of Common Stock, or such other</w:t>
      </w:r>
    </w:p>
    <w:p>
      <w:pPr>
        <w:spacing w:after="0" w:line="7" w:lineRule="exact"/>
        <w:rPr>
          <w:rFonts w:ascii="Courier New" w:cs="Courier New" w:eastAsia="Courier New" w:hAnsi="Courier New"/>
          <w:sz w:val="15"/>
          <w:szCs w:val="15"/>
          <w:color w:val="auto"/>
        </w:rPr>
      </w:pPr>
    </w:p>
    <w:p>
      <w:pPr>
        <w:ind w:left="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in cash or otherwise), except to the Initial Purchasers pursuant to this Agreement, for a period of 90 days after the Closing Date without the prior written consent of Donaldson, Lufkin &amp; Jenrette Securities Corporation and Morgan Stanley &amp; Co. Incorporated. Notwithstanding the foregoing, during such period (i) the Company may grant stock options and issue shares of Common Stock pursuant to the Company's existing stock option and stock purchase plans, the Network24 Communications, Inc. 1997 Stock Option Plan, the Third Amended and Restated 1998 Stock Option Plan of INTERVU Inc, the 1996 Stock Option Plan of INTERVU Inc. and the Netpodium Inc. 1998 Stock Option/Stock Issuance Plan, (ii) the Company may issue shares of Common Stock upon the exercise of an option or warrant or the conversion of a security outstanding on the date hereof and (iii) may issue shares in exchange for all of the equity or substantially all of the equity or assets of a company in connection with a merger or acquisition by the Company, so long as prior to any such issuance the Company shall have notified the Initial Purchasers and the recipients of such shares shall have agreed with the Initial Purchasers in writing to be bound by the terms of the lock-up agreement in the form attached hereto as Exhibit B for a period of 90 days after the date of the Offering Memorandum. The Company also agrees not to file any registration statement (other than as contemplated by the Registration Rights Agreement) with respect to any shares of Common Stock or any securities convertible into or exercisable or exchangeable for Common Stock for a period of 90 days after the Closing Date without the prior written consent of Donaldson, Lufkin &amp; Jenrette Securities Corporation and Morgan Stanley &amp; Co. Incorporated. The Company shall, prior to or concurrently with the execution of this Agreement, deliver (i) an agreement in the form of Exhibit B here executed by each of the directors and executive officers of the Company and (ii) an agreement in the form of Exhibit C hereto executed by each stockholder listed on Annex I hereto to the effect that, except as specifically set forth in those agreements, such person will not, during the period commencing on the date such person signs in each case such agreement and ending 90 days after the date specified therein without the prior written consent of Donaldson, Lufkin &amp; Jenrette Securities Corporation and Morgan Stanley &amp; Co. Incorporated, (A) engage in any of the transactions described in the first sentence of this paragraph or (B) make any demand for, or exercise any right with respect to, the registration of any shares of Common Stock or any securities convertible into or exercisable or exchangeable for Common Stock.</w:t>
      </w:r>
    </w:p>
    <w:p>
      <w:pPr>
        <w:spacing w:after="0" w:line="370" w:lineRule="exact"/>
        <w:rPr>
          <w:rFonts w:ascii="Courier New" w:cs="Courier New" w:eastAsia="Courier New" w:hAnsi="Courier New"/>
          <w:sz w:val="15"/>
          <w:szCs w:val="15"/>
          <w:color w:val="auto"/>
        </w:rPr>
      </w:pPr>
    </w:p>
    <w:p>
      <w:pPr>
        <w:jc w:val="both"/>
        <w:ind w:left="5" w:right="3119" w:firstLine="1655"/>
        <w:spacing w:after="0" w:line="252" w:lineRule="auto"/>
        <w:tabs>
          <w:tab w:leader="none" w:pos="2497"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compliance by the Initial Purchasers with their obligations hereunder, not to sell, offer for sale or solicit offers to buy or otherwise negotiate in respect of any security (as defined</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295"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9</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in the Act) that would be integrated with the sale of the Notes to the Initial Purchasers or pursuant to Exempt Resales in a manner that would require the registration of any such sale of the Notes under the Act.</w:t>
      </w:r>
    </w:p>
    <w:p>
      <w:pPr>
        <w:spacing w:after="0" w:line="175" w:lineRule="exact"/>
        <w:rPr>
          <w:sz w:val="20"/>
          <w:szCs w:val="20"/>
          <w:color w:val="auto"/>
        </w:rPr>
      </w:pPr>
    </w:p>
    <w:p>
      <w:pPr>
        <w:ind w:left="2480" w:hanging="825"/>
        <w:spacing w:after="0"/>
        <w:tabs>
          <w:tab w:leader="none" w:pos="24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to voluntarily claim, and to actively resist any</w:t>
      </w:r>
    </w:p>
    <w:p>
      <w:pPr>
        <w:spacing w:after="0" w:line="7" w:lineRule="exact"/>
        <w:rPr>
          <w:rFonts w:ascii="Courier New" w:cs="Courier New" w:eastAsia="Courier New" w:hAnsi="Courier New"/>
          <w:sz w:val="15"/>
          <w:szCs w:val="15"/>
          <w:color w:val="auto"/>
        </w:rPr>
      </w:pPr>
    </w:p>
    <w:p>
      <w:pPr>
        <w:ind w:right="32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attempts to claim, the benefit of any usury laws against the holders of any Notes.</w:t>
      </w:r>
    </w:p>
    <w:p>
      <w:pPr>
        <w:spacing w:after="0" w:line="174" w:lineRule="exact"/>
        <w:rPr>
          <w:rFonts w:ascii="Courier New" w:cs="Courier New" w:eastAsia="Courier New" w:hAnsi="Courier New"/>
          <w:sz w:val="15"/>
          <w:szCs w:val="15"/>
          <w:color w:val="auto"/>
        </w:rPr>
      </w:pPr>
    </w:p>
    <w:p>
      <w:pPr>
        <w:ind w:right="2839" w:firstLine="1655"/>
        <w:spacing w:after="0" w:line="253" w:lineRule="auto"/>
        <w:tabs>
          <w:tab w:leader="none" w:pos="2491"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all of its agreements set forth in the Registration Rights Agreement.</w:t>
      </w:r>
    </w:p>
    <w:p>
      <w:pPr>
        <w:spacing w:after="0" w:line="174" w:lineRule="exact"/>
        <w:rPr>
          <w:rFonts w:ascii="Courier New" w:cs="Courier New" w:eastAsia="Courier New" w:hAnsi="Courier New"/>
          <w:sz w:val="15"/>
          <w:szCs w:val="15"/>
          <w:color w:val="auto"/>
        </w:rPr>
      </w:pPr>
    </w:p>
    <w:p>
      <w:pPr>
        <w:ind w:right="2939" w:firstLine="1655"/>
        <w:spacing w:after="0" w:line="251" w:lineRule="auto"/>
        <w:tabs>
          <w:tab w:leader="none" w:pos="2491"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reasonable best efforts to do and perform all things required or necessary to be done and performed under this Agreement by it prior to the Closing Date and to satisfy all conditions precedent to the delivery of the Notes.</w:t>
      </w:r>
    </w:p>
    <w:p>
      <w:pPr>
        <w:spacing w:after="0" w:line="176" w:lineRule="exact"/>
        <w:rPr>
          <w:rFonts w:ascii="Courier New" w:cs="Courier New" w:eastAsia="Courier New" w:hAnsi="Courier New"/>
          <w:sz w:val="15"/>
          <w:szCs w:val="15"/>
          <w:color w:val="auto"/>
        </w:rPr>
      </w:pPr>
    </w:p>
    <w:p>
      <w:pPr>
        <w:ind w:right="2839" w:firstLine="825"/>
        <w:spacing w:after="0" w:line="252" w:lineRule="auto"/>
        <w:tabs>
          <w:tab w:leader="none" w:pos="166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AGREEMENTS OF THE COMPANY. As of the date hereof, the Company represents and warrants to, and agrees with, the Initial Purchasers that:</w:t>
      </w:r>
    </w:p>
    <w:p>
      <w:pPr>
        <w:spacing w:after="0" w:line="174" w:lineRule="exact"/>
        <w:rPr>
          <w:rFonts w:ascii="Courier New" w:cs="Courier New" w:eastAsia="Courier New" w:hAnsi="Courier New"/>
          <w:sz w:val="15"/>
          <w:szCs w:val="15"/>
          <w:color w:val="auto"/>
        </w:rPr>
      </w:pPr>
    </w:p>
    <w:p>
      <w:pPr>
        <w:ind w:right="2839" w:firstLine="1655"/>
        <w:spacing w:after="0" w:line="250" w:lineRule="auto"/>
        <w:tabs>
          <w:tab w:leader="none" w:pos="2491"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Offering Memorandum does not, and any supplement or amendment to them will not, contain any untrue statement of a material fact or omit to state any material fact required to be stated therein or necessary to make the statements therein, in the light of the circumstances under which they were made, not misleading, except that the representations and warranties contained in this paragraph (a) shall not apply to statements in or omissions from the Preliminary Offering Memorandum or the Offering Memorandum (or any supplement or amendment thereto) based upon information relating to the Initial Purchasers furnished to the Company in writing by the Initial Purchasers expressly for use therein. No stop order preventing the use of the Preliminary Offering Memorandum or the Offering Memorandum, or any amendment or supplement thereto, or any order asserting that any of the transactions contemplated by this Agreement are subject to the registration requirements of the Act, has been issued. The Incorporated Documents, at the time they were or hereafter are filed or last amended, as the case may be, with the Commission, complied and will comply in all material respects with the requirements of the Exchange Act.</w:t>
      </w:r>
    </w:p>
    <w:p>
      <w:pPr>
        <w:spacing w:after="0" w:line="184" w:lineRule="exact"/>
        <w:rPr>
          <w:rFonts w:ascii="Courier New" w:cs="Courier New" w:eastAsia="Courier New" w:hAnsi="Courier New"/>
          <w:sz w:val="15"/>
          <w:szCs w:val="15"/>
          <w:color w:val="auto"/>
        </w:rPr>
      </w:pPr>
    </w:p>
    <w:p>
      <w:pPr>
        <w:ind w:right="3019" w:firstLine="1655"/>
        <w:spacing w:after="0" w:line="250" w:lineRule="auto"/>
        <w:tabs>
          <w:tab w:leader="none" w:pos="2491"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its subsidiaries has been duly incorporated, is validly existing as a corporation in good standing under the laws of its jurisdiction of incorporation and has the corporate power and authority to own its property and to conduct its business as described in the Preliminary Offering Memorandum and the Offering Memorandum and is duly qualified to transact business and is in good standing in each jurisdiction in which the conduct of its business or its ownership or leasing of property requires such qualification, except where the failure to be so qualified would not have a material adverse effect on the business, financial condition or results of operations of the Company and its subsidiaries taken as a whole (a</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EFFECT").</w:t>
      </w:r>
    </w:p>
    <w:p>
      <w:pPr>
        <w:spacing w:after="0" w:line="184" w:lineRule="exact"/>
        <w:rPr>
          <w:rFonts w:ascii="Courier New" w:cs="Courier New" w:eastAsia="Courier New" w:hAnsi="Courier New"/>
          <w:sz w:val="15"/>
          <w:szCs w:val="15"/>
          <w:color w:val="auto"/>
        </w:rPr>
      </w:pPr>
    </w:p>
    <w:p>
      <w:pPr>
        <w:ind w:left="2480" w:hanging="825"/>
        <w:spacing w:after="0"/>
        <w:tabs>
          <w:tab w:leader="none" w:pos="248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shares of capital stock of the</w:t>
      </w:r>
    </w:p>
    <w:p>
      <w:pPr>
        <w:spacing w:after="0" w:line="7" w:lineRule="exact"/>
        <w:rPr>
          <w:rFonts w:ascii="Courier New" w:cs="Courier New" w:eastAsia="Courier New" w:hAnsi="Courier New"/>
          <w:sz w:val="15"/>
          <w:szCs w:val="15"/>
          <w:color w:val="auto"/>
        </w:rPr>
      </w:pPr>
    </w:p>
    <w:p>
      <w:pPr>
        <w:ind w:right="357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have been duly authorized and validly issued and are fully paid, non-assessable.</w:t>
      </w:r>
    </w:p>
    <w:p>
      <w:pPr>
        <w:spacing w:after="0" w:line="174" w:lineRule="exact"/>
        <w:rPr>
          <w:rFonts w:ascii="Courier New" w:cs="Courier New" w:eastAsia="Courier New" w:hAnsi="Courier New"/>
          <w:sz w:val="15"/>
          <w:szCs w:val="15"/>
          <w:color w:val="auto"/>
        </w:rPr>
      </w:pPr>
    </w:p>
    <w:p>
      <w:pPr>
        <w:ind w:right="2839" w:firstLine="1655"/>
        <w:spacing w:after="0" w:line="251" w:lineRule="auto"/>
        <w:tabs>
          <w:tab w:leader="none" w:pos="2491"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entities listed on Schedule B hereto are the only subsidiaries, direct or indirect, of the Company. All of the outstanding shares of capital stock of each of the Company's subsidiaries have been duly authorized and validly issued and are fully paid and non-assessable, and are owned by the Company, directly or indirectly through one or more subsidiaries, free and clear of any security interest, claim, lien, encumbrance or adverse interest of any nature (each, a "LIEN").</w:t>
      </w:r>
    </w:p>
    <w:p>
      <w:pPr>
        <w:spacing w:after="0" w:line="175" w:lineRule="exact"/>
        <w:rPr>
          <w:rFonts w:ascii="Courier New" w:cs="Courier New" w:eastAsia="Courier New" w:hAnsi="Courier New"/>
          <w:sz w:val="15"/>
          <w:szCs w:val="15"/>
          <w:color w:val="auto"/>
        </w:rPr>
      </w:pPr>
    </w:p>
    <w:p>
      <w:pPr>
        <w:ind w:left="2480" w:hanging="825"/>
        <w:spacing w:after="0"/>
        <w:tabs>
          <w:tab w:leader="none" w:pos="248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delivered by the Company.</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5" w:right="1440" w:bottom="1440" w:gutter="0" w:footer="0" w:header="0"/>
        </w:sectPr>
      </w:pPr>
    </w:p>
    <w:bookmarkStart w:id="16" w:name="page17"/>
    <w:bookmarkEnd w:id="16"/>
    <w:p>
      <w:pPr>
        <w:ind w:left="285"/>
        <w:spacing w:after="0"/>
        <w:rPr>
          <w:sz w:val="20"/>
          <w:szCs w:val="20"/>
          <w:color w:val="auto"/>
        </w:rPr>
      </w:pPr>
      <w:r>
        <w:rPr>
          <w:rFonts w:ascii="Courier New" w:cs="Courier New" w:eastAsia="Courier New" w:hAnsi="Courier New"/>
          <w:sz w:val="15"/>
          <w:szCs w:val="15"/>
          <w:color w:val="auto"/>
        </w:rPr>
        <w:t>10</w:t>
      </w:r>
    </w:p>
    <w:p>
      <w:pPr>
        <w:spacing w:after="0" w:line="8" w:lineRule="exact"/>
        <w:rPr>
          <w:sz w:val="20"/>
          <w:szCs w:val="20"/>
          <w:color w:val="auto"/>
        </w:rPr>
      </w:pPr>
    </w:p>
    <w:p>
      <w:pPr>
        <w:ind w:left="5" w:right="2839" w:firstLine="1655"/>
        <w:spacing w:after="0" w:line="250" w:lineRule="auto"/>
        <w:tabs>
          <w:tab w:leader="none" w:pos="2497"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has been duly authorized by the Company and, on the Closing Date, will have been validly executed and delivered by the Company. When the Indenture has been duly executed and delivered by the Company, the Indenture will be a valid and binding agreement of the Company, enforceable against the Company in accordance with its terms except as (i) the enforceability thereof may be limited by bankruptcy, insolvency or similar laws affecting creditors' rights generally and (ii) rights of acceleration and the availability of equitable remedies may be limited by equitable principles of general applicability. On the Closing Date, the Indenture will conform in all material respects to the requirements of the Trust Indenture Act of 1939, as amended (the "TIA" or "TRUST INDENTURE ACT"), and the rules and regulations of the Commission applicable to an indenture which is qualified thereunder.</w:t>
      </w:r>
    </w:p>
    <w:p>
      <w:pPr>
        <w:spacing w:after="0" w:line="182" w:lineRule="exact"/>
        <w:rPr>
          <w:rFonts w:ascii="Courier New" w:cs="Courier New" w:eastAsia="Courier New" w:hAnsi="Courier New"/>
          <w:sz w:val="15"/>
          <w:szCs w:val="15"/>
          <w:color w:val="auto"/>
        </w:rPr>
      </w:pPr>
    </w:p>
    <w:p>
      <w:pPr>
        <w:ind w:left="5" w:right="2839" w:firstLine="1655"/>
        <w:spacing w:after="0" w:line="250" w:lineRule="auto"/>
        <w:tabs>
          <w:tab w:leader="none" w:pos="2497"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have been duly authorized and, on the Closing Date, will have been validly executed and delivered by the Company. When the Notes have been issued, executed and authenticated in accordance with the provisions of the Indenture and delivered to and paid for by the Initial Purchasers in accordance with the terms of this Agreement, the Notes will be entitled to the benefits of the Indenture and will be valid and binding obligations of the Company, enforceable in accordance with their terms except as</w:t>
      </w:r>
    </w:p>
    <w:p>
      <w:pPr>
        <w:spacing w:after="0" w:line="3" w:lineRule="exact"/>
        <w:rPr>
          <w:rFonts w:ascii="Courier New" w:cs="Courier New" w:eastAsia="Courier New" w:hAnsi="Courier New"/>
          <w:sz w:val="15"/>
          <w:szCs w:val="15"/>
          <w:color w:val="auto"/>
        </w:rPr>
      </w:pPr>
    </w:p>
    <w:p>
      <w:pPr>
        <w:ind w:left="5" w:right="3119" w:hanging="5"/>
        <w:spacing w:after="0" w:line="251" w:lineRule="auto"/>
        <w:tabs>
          <w:tab w:leader="none" w:pos="37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enforceability thereof may be limited by bankruptcy, insolvency or similar laws affecting creditors' rights generally and (ii) rights of acceleration and the availability of equitable remedies may be limited by equitable principles of general applicability. On the Closing Date, the Notes will conform as to legal matters to the description thereof contained in the Offering Memorandum.</w:t>
      </w:r>
    </w:p>
    <w:p>
      <w:pPr>
        <w:spacing w:after="0" w:line="175" w:lineRule="exact"/>
        <w:rPr>
          <w:rFonts w:ascii="Courier New" w:cs="Courier New" w:eastAsia="Courier New" w:hAnsi="Courier New"/>
          <w:sz w:val="15"/>
          <w:szCs w:val="15"/>
          <w:color w:val="auto"/>
        </w:rPr>
      </w:pPr>
    </w:p>
    <w:p>
      <w:pPr>
        <w:ind w:left="5" w:right="2839" w:firstLine="1655"/>
        <w:spacing w:after="0" w:line="250" w:lineRule="auto"/>
        <w:tabs>
          <w:tab w:leader="none" w:pos="249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are convertible into Common Stock in accordance with the terms of the Indenture; the shares of Common Stock initially issuable upon conversion of the Notes have been duly authorized and reserved for issuance upon such conversion and, when issued upon such conversion, will be validly issued, fully paid and nonassessable, will conform to the description thereof contained in the Offering Memorandum and will be duly authorized for listing on the Nasdaq National Market, subject to notice of official issuance; the Company has the authorized and outstanding capital stock as set forth in the Offering Memorandum; the issuance of the Notes is not, and the Common Stock issuable upon conversion thereof will not be subject to any preemptive or similar rights.</w:t>
      </w:r>
    </w:p>
    <w:p>
      <w:pPr>
        <w:spacing w:after="0" w:line="182" w:lineRule="exact"/>
        <w:rPr>
          <w:rFonts w:ascii="Courier New" w:cs="Courier New" w:eastAsia="Courier New" w:hAnsi="Courier New"/>
          <w:sz w:val="15"/>
          <w:szCs w:val="15"/>
          <w:color w:val="auto"/>
        </w:rPr>
      </w:pPr>
    </w:p>
    <w:p>
      <w:pPr>
        <w:ind w:left="5" w:right="2839" w:firstLine="1655"/>
        <w:spacing w:after="0" w:line="250" w:lineRule="auto"/>
        <w:tabs>
          <w:tab w:leader="none" w:pos="249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Rights Agreement has been duly authorized by the Company and, on the Closing Date, will have been duly executed and delivered by the Company. When the Registration Rights Agreement has been duly executed and delivered, the Registration Rights Agreement will be a valid and binding agreement of the Company, enforceable against the Company in accordance with its terms except as (i) the enforceability thereof may be limited by bankruptcy, insolvency or similar laws affecting creditors' rights generally, (ii) rights of acceleration and the availability of equitable remedies may be limited by equitable principles of general applicability and</w:t>
      </w:r>
    </w:p>
    <w:p>
      <w:pPr>
        <w:spacing w:after="0" w:line="3" w:lineRule="exact"/>
        <w:rPr>
          <w:rFonts w:ascii="Courier New" w:cs="Courier New" w:eastAsia="Courier New" w:hAnsi="Courier New"/>
          <w:sz w:val="15"/>
          <w:szCs w:val="15"/>
          <w:color w:val="auto"/>
        </w:rPr>
      </w:pPr>
    </w:p>
    <w:p>
      <w:pPr>
        <w:ind w:left="5" w:right="2839" w:hanging="5"/>
        <w:spacing w:after="0" w:line="251" w:lineRule="auto"/>
        <w:tabs>
          <w:tab w:leader="none" w:pos="55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provisions of the Registration Rights Agreement may be unenforceable as a matter of public policy. On the Closing Date, the Registration Rights Agreement will conform as to legal matters to the description thereof in the Offering Memorandum.</w:t>
      </w:r>
    </w:p>
    <w:p>
      <w:pPr>
        <w:spacing w:after="0" w:line="176" w:lineRule="exact"/>
        <w:rPr>
          <w:rFonts w:ascii="Courier New" w:cs="Courier New" w:eastAsia="Courier New" w:hAnsi="Courier New"/>
          <w:sz w:val="15"/>
          <w:szCs w:val="15"/>
          <w:color w:val="auto"/>
        </w:rPr>
      </w:pPr>
    </w:p>
    <w:p>
      <w:pPr>
        <w:ind w:left="2485" w:hanging="825"/>
        <w:spacing w:after="0"/>
        <w:tabs>
          <w:tab w:leader="none" w:pos="2485"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by the Company of, and the</w:t>
      </w:r>
    </w:p>
    <w:p>
      <w:pPr>
        <w:spacing w:after="0" w:line="7" w:lineRule="exact"/>
        <w:rPr>
          <w:rFonts w:ascii="Courier New" w:cs="Courier New" w:eastAsia="Courier New" w:hAnsi="Courier New"/>
          <w:sz w:val="15"/>
          <w:szCs w:val="15"/>
          <w:color w:val="auto"/>
        </w:rPr>
      </w:pPr>
    </w:p>
    <w:p>
      <w:pPr>
        <w:ind w:left="5" w:right="31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by the Company of its obligations under, the Operative Documents will not contravene any provision of applicable law or the certificate of incorporation or by-laws of the Company or any of its subsidiaries or any agreement or other instrument binding upon the Company or any of its subsidiaries that is material to the Company and its subsidiaries, taken as a whole, or any judgment, order or decree of any governmental body, agency or court having jurisdiction over the Company or any of its subsidiaries, and no consent, approval, authorization or order of, or qualification with, any governmental body or agency is required for the performance by the Company of its obligations under the Operative Documents, except</w:t>
      </w:r>
    </w:p>
    <w:p>
      <w:pPr>
        <w:spacing w:after="0" w:line="18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5" w:top="295"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11</w:t>
      </w:r>
    </w:p>
    <w:p>
      <w:pPr>
        <w:spacing w:after="0" w:line="8"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such as may be required by the securities or Blue Sky laws of the various states in connection with the offer and sale of the Shares.</w:t>
      </w:r>
    </w:p>
    <w:p>
      <w:pPr>
        <w:spacing w:after="0" w:line="174" w:lineRule="exact"/>
        <w:rPr>
          <w:sz w:val="20"/>
          <w:szCs w:val="20"/>
          <w:color w:val="auto"/>
        </w:rPr>
      </w:pPr>
    </w:p>
    <w:p>
      <w:pPr>
        <w:ind w:right="2839" w:firstLine="1655"/>
        <w:spacing w:after="0" w:line="251" w:lineRule="auto"/>
        <w:tabs>
          <w:tab w:leader="none" w:pos="249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legal or governmental proceedings pending or, to the Company's knowledge, threatened to which the Company or any of its subsidiaries is or could be a party or to which any of their respective property is or could be subject, which might result, singly or in the aggregate, in a Material Adverse Effect.</w:t>
      </w:r>
    </w:p>
    <w:p>
      <w:pPr>
        <w:spacing w:after="0" w:line="176" w:lineRule="exact"/>
        <w:rPr>
          <w:rFonts w:ascii="Courier New" w:cs="Courier New" w:eastAsia="Courier New" w:hAnsi="Courier New"/>
          <w:sz w:val="15"/>
          <w:szCs w:val="15"/>
          <w:color w:val="auto"/>
        </w:rPr>
      </w:pPr>
    </w:p>
    <w:p>
      <w:pPr>
        <w:ind w:right="2939" w:firstLine="1655"/>
        <w:spacing w:after="0" w:line="250" w:lineRule="auto"/>
        <w:tabs>
          <w:tab w:leader="none" w:pos="249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its subsidiaries (i) is in compliance with any and all applicable foreign, federal, state and local laws and regulations relating to the protection of human health and safety, the environment or hazardous or toxic substances or wastes, pollutants or contaminants ("Environmental Laws"), (ii) has received all permits, licenses or other approvals required of it under applicable Environmental Laws to conduct its business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w:t>
      </w:r>
    </w:p>
    <w:p>
      <w:pPr>
        <w:spacing w:after="0" w:line="182" w:lineRule="exact"/>
        <w:rPr>
          <w:rFonts w:ascii="Courier New" w:cs="Courier New" w:eastAsia="Courier New" w:hAnsi="Courier New"/>
          <w:sz w:val="15"/>
          <w:szCs w:val="15"/>
          <w:color w:val="auto"/>
        </w:rPr>
      </w:pPr>
    </w:p>
    <w:p>
      <w:pPr>
        <w:ind w:left="2480" w:hanging="825"/>
        <w:spacing w:after="0"/>
        <w:tabs>
          <w:tab w:leader="none" w:pos="24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costs or liabilities associated with</w:t>
      </w:r>
    </w:p>
    <w:p>
      <w:pPr>
        <w:spacing w:after="0" w:line="7" w:lineRule="exact"/>
        <w:rPr>
          <w:rFonts w:ascii="Courier New" w:cs="Courier New" w:eastAsia="Courier New" w:hAnsi="Courier New"/>
          <w:sz w:val="15"/>
          <w:szCs w:val="15"/>
          <w:color w:val="auto"/>
        </w:rPr>
      </w:pPr>
    </w:p>
    <w:p>
      <w:pPr>
        <w:ind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w:t>
      </w:r>
    </w:p>
    <w:p>
      <w:pPr>
        <w:spacing w:after="0" w:line="176" w:lineRule="exact"/>
        <w:rPr>
          <w:rFonts w:ascii="Courier New" w:cs="Courier New" w:eastAsia="Courier New" w:hAnsi="Courier New"/>
          <w:sz w:val="15"/>
          <w:szCs w:val="15"/>
          <w:color w:val="auto"/>
        </w:rPr>
      </w:pPr>
    </w:p>
    <w:p>
      <w:pPr>
        <w:ind w:left="2480" w:hanging="825"/>
        <w:spacing w:after="0"/>
        <w:tabs>
          <w:tab w:leader="none" w:pos="24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possess all</w:t>
      </w:r>
    </w:p>
    <w:p>
      <w:pPr>
        <w:spacing w:after="0" w:line="7" w:lineRule="exact"/>
        <w:rPr>
          <w:rFonts w:ascii="Courier New" w:cs="Courier New" w:eastAsia="Courier New" w:hAnsi="Courier New"/>
          <w:sz w:val="15"/>
          <w:szCs w:val="15"/>
          <w:color w:val="auto"/>
        </w:rPr>
      </w:pPr>
    </w:p>
    <w:p>
      <w:pPr>
        <w:ind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authorizations and permits issued by the appropriate federal, state or foreign regulatory authorities necessary to conduct its business, other than those which, if not so possessed, would not have a Material Adverse Effect,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except as described the Offering Memorandum.</w:t>
      </w:r>
    </w:p>
    <w:p>
      <w:pPr>
        <w:spacing w:after="0" w:line="175" w:lineRule="exact"/>
        <w:rPr>
          <w:rFonts w:ascii="Courier New" w:cs="Courier New" w:eastAsia="Courier New" w:hAnsi="Courier New"/>
          <w:sz w:val="15"/>
          <w:szCs w:val="15"/>
          <w:color w:val="auto"/>
        </w:rPr>
      </w:pPr>
    </w:p>
    <w:p>
      <w:pPr>
        <w:ind w:left="2480" w:hanging="825"/>
        <w:spacing w:after="0"/>
        <w:tabs>
          <w:tab w:leader="none" w:pos="24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good and</w:t>
      </w:r>
    </w:p>
    <w:p>
      <w:pPr>
        <w:spacing w:after="0" w:line="7" w:lineRule="exact"/>
        <w:rPr>
          <w:rFonts w:ascii="Courier New" w:cs="Courier New" w:eastAsia="Courier New" w:hAnsi="Courier New"/>
          <w:sz w:val="15"/>
          <w:szCs w:val="15"/>
          <w:color w:val="auto"/>
        </w:rPr>
      </w:pPr>
    </w:p>
    <w:p>
      <w:pPr>
        <w:ind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title in fee simple to all real property and good and marketable title to all personal property owned by them which is material to the business of the Company and its subsidiaries, in each case free and clear of all liens, encumbrances and defects except such as are described in the Offering Memorandum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taken as a whole, in each case except as described in the Offering Memorandum.</w:t>
      </w:r>
    </w:p>
    <w:p>
      <w:pPr>
        <w:spacing w:after="0" w:line="182" w:lineRule="exact"/>
        <w:rPr>
          <w:rFonts w:ascii="Courier New" w:cs="Courier New" w:eastAsia="Courier New" w:hAnsi="Courier New"/>
          <w:sz w:val="15"/>
          <w:szCs w:val="15"/>
          <w:color w:val="auto"/>
        </w:rPr>
      </w:pPr>
    </w:p>
    <w:p>
      <w:pPr>
        <w:ind w:right="2939" w:firstLine="1655"/>
        <w:spacing w:after="0" w:line="251" w:lineRule="auto"/>
        <w:tabs>
          <w:tab w:leader="none" w:pos="249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PricewaterhouseCoopers LLP are independent public accountants with respect to the Company and Network 24 Communications, Inc. and Ernst &amp; Young, LLP were, for the year ended December 31, 1999, independent public accountants for INTERVU Inc., as required by the Act and the Exchange Act.</w:t>
      </w:r>
    </w:p>
    <w:p>
      <w:pPr>
        <w:spacing w:after="0" w:line="176" w:lineRule="exact"/>
        <w:rPr>
          <w:rFonts w:ascii="Courier New" w:cs="Courier New" w:eastAsia="Courier New" w:hAnsi="Courier New"/>
          <w:sz w:val="15"/>
          <w:szCs w:val="15"/>
          <w:color w:val="auto"/>
        </w:rPr>
      </w:pPr>
    </w:p>
    <w:p>
      <w:pPr>
        <w:ind w:right="2839" w:firstLine="1655"/>
        <w:spacing w:after="0" w:line="252" w:lineRule="auto"/>
        <w:tabs>
          <w:tab w:leader="none" w:pos="249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financial statements, together with related schedules and notes incorporated by reference in the Offering Memorandum (and any amendment or supplement thereto),</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5"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12</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present fairly the consolidated financial position, results of operations and changes in financial position of the Company and its subsidiaries at the respective dates or for the respective periods to which they apply; such statements and related schedules and notes have been prepared in accordance with generally accepted accounting principles consistently applied throughout the periods involved, except as disclosed therein; and the other financial and statistical information and data set forth or incorporated by reference in the Offering Memorandum (and any amendment or supplement thereto) are, in all material respects, accurately presented and prepared on a basis consistent with such financial statements and the books and records of the Company.</w:t>
      </w:r>
    </w:p>
    <w:p>
      <w:pPr>
        <w:spacing w:after="0" w:line="182" w:lineRule="exact"/>
        <w:rPr>
          <w:sz w:val="20"/>
          <w:szCs w:val="20"/>
          <w:color w:val="auto"/>
        </w:rPr>
      </w:pPr>
    </w:p>
    <w:p>
      <w:pPr>
        <w:ind w:right="2839" w:firstLine="1655"/>
        <w:spacing w:after="0" w:line="251" w:lineRule="auto"/>
        <w:tabs>
          <w:tab w:leader="none" w:pos="249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financial information of the Company included in the Offering Memorandum have been prepared on a basis consistent with the historical financial statements of the Company and its subsidiaries and the assumptions used in the preparation thereof are reasonable and the adjustments used therein are appropriate to give effect to the transactions and circumstances referred to therein and present fairly the historical and proposed transactions contemplated by the Preliminary Offering Memorandum and the Offering Memorandum The other pro forma financial and statistical information and data included in the Offering Memorandum are, in all material respects, accurately presented and prepared on a basis consistent with the pro forma financial statements.</w:t>
      </w:r>
    </w:p>
    <w:p>
      <w:pPr>
        <w:spacing w:after="0" w:line="352" w:lineRule="exact"/>
        <w:rPr>
          <w:rFonts w:ascii="Courier New" w:cs="Courier New" w:eastAsia="Courier New" w:hAnsi="Courier New"/>
          <w:sz w:val="15"/>
          <w:szCs w:val="15"/>
          <w:color w:val="auto"/>
        </w:rPr>
      </w:pPr>
    </w:p>
    <w:p>
      <w:pPr>
        <w:ind w:right="2839" w:firstLine="1655"/>
        <w:spacing w:after="0" w:line="250" w:lineRule="auto"/>
        <w:tabs>
          <w:tab w:leader="none" w:pos="249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maintain a system of internal accounting controls sufficient to provide reasonable assurance that (1) transactions are executed in accordance with management's general or specific authorizations; (2) transactions are recorded as necessary to permit preparation of financial statements in conformity with generally accepted accounting principles and to maintain asset accountability; (3) access to assets is permitted only in accordance with management's general or specific authorization; and (4) the recorded accountability for assets is compared with the existing assets at reasonable intervals and appropriate action is taken with respect to any differences.</w:t>
      </w:r>
    </w:p>
    <w:p>
      <w:pPr>
        <w:spacing w:after="0" w:line="181" w:lineRule="exact"/>
        <w:rPr>
          <w:rFonts w:ascii="Courier New" w:cs="Courier New" w:eastAsia="Courier New" w:hAnsi="Courier New"/>
          <w:sz w:val="15"/>
          <w:szCs w:val="15"/>
          <w:color w:val="auto"/>
        </w:rPr>
      </w:pPr>
    </w:p>
    <w:p>
      <w:pPr>
        <w:ind w:right="2839" w:firstLine="1655"/>
        <w:spacing w:after="0" w:line="250" w:lineRule="auto"/>
        <w:tabs>
          <w:tab w:leader="none" w:pos="249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its subsidiaries own or possess,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it in connection with the business now operated by it, and neither the Company nor any of its subsidiaries have received any notice of infringement of or conflict with asserted rights of others with respect to any of the foregoing which, singly or in the aggregate, if the subject of an unfavorable decision, ruling or finding, would be reasonably likely to have a Material Adverse Effect.</w:t>
      </w:r>
    </w:p>
    <w:p>
      <w:pPr>
        <w:spacing w:after="0" w:line="181" w:lineRule="exact"/>
        <w:rPr>
          <w:rFonts w:ascii="Courier New" w:cs="Courier New" w:eastAsia="Courier New" w:hAnsi="Courier New"/>
          <w:sz w:val="15"/>
          <w:szCs w:val="15"/>
          <w:color w:val="auto"/>
        </w:rPr>
      </w:pPr>
    </w:p>
    <w:p>
      <w:pPr>
        <w:ind w:right="2839" w:firstLine="1655"/>
        <w:spacing w:after="0" w:line="251" w:lineRule="auto"/>
        <w:tabs>
          <w:tab w:leader="none" w:pos="249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labor dispute with the employees of the Company or any of its subsidiaries exists, except as described in the Offering Memorandum, or, to the knowledge of the Company, is imminent; and the Company is not aware of any existing, threatened or imminent labor disturbance by the employees of any of its principal suppliers, manufacturers or contractors that could have a Material Adverse Effect.</w:t>
      </w:r>
    </w:p>
    <w:p>
      <w:pPr>
        <w:spacing w:after="0" w:line="175" w:lineRule="exact"/>
        <w:rPr>
          <w:rFonts w:ascii="Courier New" w:cs="Courier New" w:eastAsia="Courier New" w:hAnsi="Courier New"/>
          <w:sz w:val="15"/>
          <w:szCs w:val="15"/>
          <w:color w:val="auto"/>
        </w:rPr>
      </w:pPr>
    </w:p>
    <w:p>
      <w:pPr>
        <w:ind w:right="2939" w:firstLine="1655"/>
        <w:spacing w:after="0" w:line="250" w:lineRule="auto"/>
        <w:tabs>
          <w:tab w:leader="none" w:pos="249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insured by the insurers of recognized financial responsibility against such losses and risks and in such amounts as, in the Company's reasonable judgment,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described in the Offering Memorandum.</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5" w:right="1440" w:bottom="1440" w:gutter="0" w:footer="0" w:header="0"/>
        </w:sectPr>
      </w:pPr>
    </w:p>
    <w:bookmarkStart w:id="19" w:name="page20"/>
    <w:bookmarkEnd w:id="19"/>
    <w:p>
      <w:pPr>
        <w:ind w:left="285"/>
        <w:spacing w:after="0"/>
        <w:rPr>
          <w:sz w:val="20"/>
          <w:szCs w:val="20"/>
          <w:color w:val="auto"/>
        </w:rPr>
      </w:pPr>
      <w:r>
        <w:rPr>
          <w:rFonts w:ascii="Courier New" w:cs="Courier New" w:eastAsia="Courier New" w:hAnsi="Courier New"/>
          <w:sz w:val="15"/>
          <w:szCs w:val="15"/>
          <w:color w:val="auto"/>
        </w:rPr>
        <w:t>13</w:t>
      </w:r>
    </w:p>
    <w:p>
      <w:pPr>
        <w:spacing w:after="0" w:line="8" w:lineRule="exact"/>
        <w:rPr>
          <w:sz w:val="20"/>
          <w:szCs w:val="20"/>
          <w:color w:val="auto"/>
        </w:rPr>
      </w:pPr>
    </w:p>
    <w:p>
      <w:pPr>
        <w:ind w:left="5" w:right="3019" w:firstLine="1655"/>
        <w:spacing w:after="0" w:line="251" w:lineRule="auto"/>
        <w:tabs>
          <w:tab w:leader="none" w:pos="249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and, after giving effect to the offering and sale of the Notes and the application of the net proceeds thereof as described in the Offering Memorandum, will not be, an "investment company," as such term is defined in the Investment Company Act of 1940, as amended.</w:t>
      </w:r>
    </w:p>
    <w:p>
      <w:pPr>
        <w:spacing w:after="0" w:line="176" w:lineRule="exact"/>
        <w:rPr>
          <w:rFonts w:ascii="Courier New" w:cs="Courier New" w:eastAsia="Courier New" w:hAnsi="Courier New"/>
          <w:sz w:val="15"/>
          <w:szCs w:val="15"/>
          <w:color w:val="auto"/>
        </w:rPr>
      </w:pPr>
    </w:p>
    <w:p>
      <w:pPr>
        <w:ind w:left="5" w:right="2839" w:firstLine="1655"/>
        <w:spacing w:after="0" w:line="250" w:lineRule="auto"/>
        <w:tabs>
          <w:tab w:leader="none" w:pos="249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 the Fourth Amended and Restated Registration Rights Agreement, dated September 20, 1999, (b) the Declaration of Registration Rights, dated January 24, 2000, (c) the INTERVU, Inc. and Josepthal</w:t>
      </w:r>
    </w:p>
    <w:p>
      <w:pPr>
        <w:spacing w:after="0" w:line="1" w:lineRule="exact"/>
        <w:rPr>
          <w:rFonts w:ascii="Courier New" w:cs="Courier New" w:eastAsia="Courier New" w:hAnsi="Courier New"/>
          <w:sz w:val="15"/>
          <w:szCs w:val="15"/>
          <w:color w:val="auto"/>
        </w:rPr>
      </w:pPr>
    </w:p>
    <w:p>
      <w:pPr>
        <w:ind w:left="5" w:right="2839" w:hanging="5"/>
        <w:spacing w:after="0" w:line="250" w:lineRule="auto"/>
        <w:tabs>
          <w:tab w:leader="none" w:pos="19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 and Cruttenden Roth Incorporated Advisors Warrant Agreement dated as of June 18, 1998 (the "1998 Intervu Agreement") and (d) the INTERVU, Inc. and Josepthal Lyon &amp; Ross Incorporated and Cruttenden Roth Incorporated Advisors Warrant Agreement dated as of November 19, 1997 (the "1997 Intervu Agreement"), in each case by and among the Company and the persons named therein, there are no contracts, agreements or understandings between the Company and any person granting such person the right to require the Company to file a registration statement under the Act with respect to any securities of the Company. No such contract, agreement or understanding contains a provision requiring the Company to include such securities with the Notes registered pursuant to any Registration Statement, except as has been waived or, in the case of the 1998 Intervu Agreement and the 1997 Intervu Agreement, which the Company will use its best efforts to have waived by the parties thereto.</w:t>
      </w:r>
    </w:p>
    <w:p>
      <w:pPr>
        <w:spacing w:after="0" w:line="183" w:lineRule="exact"/>
        <w:rPr>
          <w:rFonts w:ascii="Courier New" w:cs="Courier New" w:eastAsia="Courier New" w:hAnsi="Courier New"/>
          <w:sz w:val="15"/>
          <w:szCs w:val="15"/>
          <w:color w:val="auto"/>
        </w:rPr>
      </w:pPr>
    </w:p>
    <w:p>
      <w:pPr>
        <w:ind w:left="2485" w:hanging="825"/>
        <w:spacing w:after="0"/>
        <w:tabs>
          <w:tab w:leader="none" w:pos="2485"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no officer or director of</w:t>
      </w:r>
    </w:p>
    <w:p>
      <w:pPr>
        <w:spacing w:after="0" w:line="7" w:lineRule="exact"/>
        <w:rPr>
          <w:rFonts w:ascii="Courier New" w:cs="Courier New" w:eastAsia="Courier New" w:hAnsi="Courier New"/>
          <w:sz w:val="15"/>
          <w:szCs w:val="15"/>
          <w:color w:val="auto"/>
        </w:rPr>
      </w:pPr>
    </w:p>
    <w:p>
      <w:pPr>
        <w:ind w:left="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of its subsidiaries is in breach or violation of any employment agreement, non-competition agreement, confidentiality agreement, or other agreement restricting the nature or scope of employment to which such officer or director is a party, and, to the Company's knowledge, the conduct of the business, as described in the Offering Memorandum, will not result in a breach or violation of any such agreement.</w:t>
      </w:r>
    </w:p>
    <w:p>
      <w:pPr>
        <w:spacing w:after="0" w:line="175" w:lineRule="exact"/>
        <w:rPr>
          <w:rFonts w:ascii="Courier New" w:cs="Courier New" w:eastAsia="Courier New" w:hAnsi="Courier New"/>
          <w:sz w:val="15"/>
          <w:szCs w:val="15"/>
          <w:color w:val="auto"/>
        </w:rPr>
      </w:pPr>
    </w:p>
    <w:p>
      <w:pPr>
        <w:ind w:left="5" w:right="2839" w:firstLine="1655"/>
        <w:spacing w:after="0" w:line="251" w:lineRule="auto"/>
        <w:tabs>
          <w:tab w:leader="none" w:pos="249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outstanding options to acquire shares of capital stock of the Company except as disclosed in the Offering Memorandum and except as have been granted under (i) the Second Amended and Restated 1998 Stock Incentive Plan, (ii) the Network24 Communications, Inc. 1997 Stock Option Plan, (iii) the Third Amended and Restated 1998 Stock Option Plan of INTERVU Inc., (iv) the 1996 Stock Option Plan of INTERVU Inc. and (v) the Netpodium Inc. 1998 Stock Option/Stock Issuance Plan, and (v) the 1999 Employee Stock Purchase Plan.</w:t>
      </w:r>
    </w:p>
    <w:p>
      <w:pPr>
        <w:spacing w:after="0" w:line="176" w:lineRule="exact"/>
        <w:rPr>
          <w:sz w:val="20"/>
          <w:szCs w:val="20"/>
          <w:color w:val="auto"/>
        </w:rPr>
      </w:pPr>
    </w:p>
    <w:p>
      <w:pPr>
        <w:ind w:left="5" w:right="3019" w:firstLine="1655"/>
        <w:spacing w:after="0" w:line="251" w:lineRule="auto"/>
        <w:tabs>
          <w:tab w:leader="none" w:pos="249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outstanding warrants to acquire shares of capital stock of the Company except as disclosed in the Offering Memorandum and except as have been granted under the 15% Senior Subordinated Notes and Warrants to Purchase Common Stock Purchase Agreement dated as of May 7, 1999.</w:t>
      </w:r>
    </w:p>
    <w:p>
      <w:pPr>
        <w:spacing w:after="0" w:line="176" w:lineRule="exact"/>
        <w:rPr>
          <w:rFonts w:ascii="Courier New" w:cs="Courier New" w:eastAsia="Courier New" w:hAnsi="Courier New"/>
          <w:sz w:val="15"/>
          <w:szCs w:val="15"/>
          <w:color w:val="auto"/>
        </w:rPr>
      </w:pPr>
    </w:p>
    <w:p>
      <w:pPr>
        <w:ind w:left="5" w:right="2839" w:firstLine="1655"/>
        <w:spacing w:after="0" w:line="250" w:lineRule="auto"/>
        <w:tabs>
          <w:tab w:leader="none" w:pos="249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nor any agent thereof acting on the behalf of it has taken, and none of them will take, any action that might cause this Agreement or the issuance or sale of the Notes to violate Regulation T (12 C.F.R. Part 220), Regulation U (12 C.F.R. Part</w:t>
      </w:r>
    </w:p>
    <w:p>
      <w:pPr>
        <w:spacing w:after="0" w:line="1" w:lineRule="exact"/>
        <w:rPr>
          <w:rFonts w:ascii="Courier New" w:cs="Courier New" w:eastAsia="Courier New" w:hAnsi="Courier New"/>
          <w:sz w:val="15"/>
          <w:szCs w:val="15"/>
          <w:color w:val="auto"/>
        </w:rPr>
      </w:pPr>
    </w:p>
    <w:p>
      <w:pPr>
        <w:ind w:left="5" w:right="3399" w:hanging="5"/>
        <w:spacing w:after="0" w:line="253" w:lineRule="auto"/>
        <w:tabs>
          <w:tab w:leader="none" w:pos="46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Regulation X (12 C.F.R. Part 224) of the Board of Governors of the Federal Reserve System.</w:t>
      </w:r>
    </w:p>
    <w:p>
      <w:pPr>
        <w:spacing w:after="0" w:line="174" w:lineRule="exact"/>
        <w:rPr>
          <w:rFonts w:ascii="Courier New" w:cs="Courier New" w:eastAsia="Courier New" w:hAnsi="Courier New"/>
          <w:sz w:val="15"/>
          <w:szCs w:val="15"/>
          <w:color w:val="auto"/>
        </w:rPr>
      </w:pPr>
    </w:p>
    <w:p>
      <w:pPr>
        <w:ind w:left="5" w:right="2839" w:firstLine="1655"/>
        <w:spacing w:after="0" w:line="251" w:lineRule="auto"/>
        <w:tabs>
          <w:tab w:leader="none" w:pos="249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"nationally recognized statistical rating organization," as such term is defined for purposes of Rule 436(g)(2) under the Act (i) has imposed (or has informed the Company that it is considering imposing) any condition (financial or otherwise) on the Company's retaining any rating assigned to the Company or any securities of the Company or (ii) has indicated to the Company that it is considering (a) the downgrading, suspension, or withdrawal of, or any review for a possible change that does not indicate the direction of the possible change in, any rating so assigned or (b) any change in the outlook for any rating of the Company, or any securities of the Company.</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5" w:top="295"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14</w:t>
      </w:r>
    </w:p>
    <w:p>
      <w:pPr>
        <w:spacing w:after="0" w:line="8" w:lineRule="exact"/>
        <w:rPr>
          <w:sz w:val="20"/>
          <w:szCs w:val="20"/>
          <w:color w:val="auto"/>
        </w:rPr>
      </w:pPr>
    </w:p>
    <w:p>
      <w:pPr>
        <w:ind w:left="2480" w:hanging="825"/>
        <w:spacing w:after="0"/>
        <w:tabs>
          <w:tab w:leader="none" w:pos="24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respective dates as of which information is</w:t>
      </w:r>
    </w:p>
    <w:p>
      <w:pPr>
        <w:spacing w:after="0" w:line="7" w:lineRule="exact"/>
        <w:rPr>
          <w:rFonts w:ascii="Courier New" w:cs="Courier New" w:eastAsia="Courier New" w:hAnsi="Courier New"/>
          <w:sz w:val="15"/>
          <w:szCs w:val="15"/>
          <w:color w:val="auto"/>
        </w:rPr>
      </w:pPr>
    </w:p>
    <w:p>
      <w:pPr>
        <w:ind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given in the Offering Memorandum other than as set forth in the Offering Memorandum (exclusive of any amendments or supplements thereto subsequent to the date of this Agreement), (i) there has not occurred any material adverse change or any development involving a prospective material adverse change in the condition, financial or otherwise, or the earnings, business or operations of the Company and its subsidiaries, taken as a whole, (ii) neither the Company nor any of its subsidiaries has incurred any material liability or obligation, direct or contingent, nor entered into any material transaction not in the ordinary course of business; (iii) the Company has not purchased any of its outstanding capital stock, nor declared, paid or otherwise made any dividend or distribution of any kind on its capital stock other than ordinary and customary dividends; and (iv) there has not been any material change in the capital stock, short-term debt or long-term debt of the Company or any of its subsidiaries, except in each case as described in the Offering Memorandum.</w:t>
      </w:r>
    </w:p>
    <w:p>
      <w:pPr>
        <w:spacing w:after="0" w:line="183" w:lineRule="exact"/>
        <w:rPr>
          <w:rFonts w:ascii="Courier New" w:cs="Courier New" w:eastAsia="Courier New" w:hAnsi="Courier New"/>
          <w:sz w:val="15"/>
          <w:szCs w:val="15"/>
          <w:color w:val="auto"/>
        </w:rPr>
      </w:pPr>
    </w:p>
    <w:p>
      <w:pPr>
        <w:ind w:right="2839" w:firstLine="1655"/>
        <w:spacing w:after="0" w:line="252" w:lineRule="auto"/>
        <w:tabs>
          <w:tab w:leader="none" w:pos="249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Offering Memorandum, as of its date, contains all the information specified in, and meeting the requirements of, Rule 144A(d)(4) under the Act.</w:t>
      </w:r>
    </w:p>
    <w:p>
      <w:pPr>
        <w:spacing w:after="0" w:line="174" w:lineRule="exact"/>
        <w:rPr>
          <w:rFonts w:ascii="Courier New" w:cs="Courier New" w:eastAsia="Courier New" w:hAnsi="Courier New"/>
          <w:sz w:val="15"/>
          <w:szCs w:val="15"/>
          <w:color w:val="auto"/>
        </w:rPr>
      </w:pPr>
    </w:p>
    <w:p>
      <w:pPr>
        <w:ind w:right="3019" w:firstLine="1655"/>
        <w:spacing w:after="0" w:line="251" w:lineRule="auto"/>
        <w:tabs>
          <w:tab w:leader="none" w:pos="249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Notes are issued and delivered pursuant to this Agreement, the Notes will not be of the same class (within the meaning of Rule 144A under the Act) as any security of the Company that is listed on a national securities exchange registered under Section 6 of the Exchange Act or that is quoted in a United States automated inter-dealer quotation system.</w:t>
      </w:r>
    </w:p>
    <w:p>
      <w:pPr>
        <w:spacing w:after="0" w:line="176" w:lineRule="exact"/>
        <w:rPr>
          <w:rFonts w:ascii="Courier New" w:cs="Courier New" w:eastAsia="Courier New" w:hAnsi="Courier New"/>
          <w:sz w:val="15"/>
          <w:szCs w:val="15"/>
          <w:color w:val="auto"/>
        </w:rPr>
      </w:pPr>
    </w:p>
    <w:p>
      <w:pPr>
        <w:ind w:right="2839" w:firstLine="1655"/>
        <w:spacing w:after="0" w:line="250" w:lineRule="auto"/>
        <w:tabs>
          <w:tab w:leader="none" w:pos="249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form of general solicitation or general advertising (as defined in Regulation D under the Act) was used by the Company, or any of its representatives (other than the Initial Purchasers, as to whom the Company makes no representation) in connection with the offer and sale of the Notes contemplated hereby, including, but not limited to, articles, notices or other communications published in any newspaper, magazine, or similar medium or broadcast over television or radio, or any seminar or meeting whose attendees have been invited by any general solicitation or general advertising. No securities of the same class as the Securities have been issued and sold by the Company within the six-month period immediately prior to the date hereof, except under the Company's stock option and stock purchase plan and in connection with the acquisitions of Network 24 and INTERVU (including stock option plans of such companies assumed in connection with such acquisitions).</w:t>
      </w:r>
    </w:p>
    <w:p>
      <w:pPr>
        <w:spacing w:after="0" w:line="183" w:lineRule="exact"/>
        <w:rPr>
          <w:rFonts w:ascii="Courier New" w:cs="Courier New" w:eastAsia="Courier New" w:hAnsi="Courier New"/>
          <w:sz w:val="15"/>
          <w:szCs w:val="15"/>
          <w:color w:val="auto"/>
        </w:rPr>
      </w:pPr>
    </w:p>
    <w:p>
      <w:pPr>
        <w:ind w:left="2480" w:hanging="825"/>
        <w:spacing w:after="0"/>
        <w:tabs>
          <w:tab w:leader="none" w:pos="24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effectiveness of any Registration</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the Indenture is not required to be qualified under the TIA.</w:t>
      </w:r>
    </w:p>
    <w:p>
      <w:pPr>
        <w:spacing w:after="0" w:line="184" w:lineRule="exact"/>
        <w:rPr>
          <w:rFonts w:ascii="Courier New" w:cs="Courier New" w:eastAsia="Courier New" w:hAnsi="Courier New"/>
          <w:sz w:val="15"/>
          <w:szCs w:val="15"/>
          <w:color w:val="auto"/>
        </w:rPr>
      </w:pPr>
    </w:p>
    <w:p>
      <w:pPr>
        <w:ind w:left="2480" w:hanging="825"/>
        <w:spacing w:after="0"/>
        <w:tabs>
          <w:tab w:leader="none" w:pos="24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registration under the Act of the Securities is</w:t>
      </w:r>
    </w:p>
    <w:p>
      <w:pPr>
        <w:spacing w:after="0" w:line="7" w:lineRule="exact"/>
        <w:rPr>
          <w:rFonts w:ascii="Courier New" w:cs="Courier New" w:eastAsia="Courier New" w:hAnsi="Courier New"/>
          <w:sz w:val="15"/>
          <w:szCs w:val="15"/>
          <w:color w:val="auto"/>
        </w:rPr>
      </w:pPr>
    </w:p>
    <w:p>
      <w:pPr>
        <w:ind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for the sale of the Securities to the Initial Purchasers as contemplated hereby or for the Exempt Resales assuming the accuracy of the Initial Purchasers' representations and warranties and agreements set forth in Section 7 hereof.</w:t>
      </w:r>
    </w:p>
    <w:p>
      <w:pPr>
        <w:spacing w:after="0" w:line="176" w:lineRule="exact"/>
        <w:rPr>
          <w:rFonts w:ascii="Courier New" w:cs="Courier New" w:eastAsia="Courier New" w:hAnsi="Courier New"/>
          <w:sz w:val="15"/>
          <w:szCs w:val="15"/>
          <w:color w:val="auto"/>
        </w:rPr>
      </w:pPr>
    </w:p>
    <w:p>
      <w:pPr>
        <w:ind w:left="2480" w:hanging="825"/>
        <w:spacing w:after="0"/>
        <w:tabs>
          <w:tab w:leader="none" w:pos="24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certificate signed by any officer of the Company</w:t>
      </w:r>
    </w:p>
    <w:p>
      <w:pPr>
        <w:spacing w:after="0" w:line="7" w:lineRule="exact"/>
        <w:rPr>
          <w:rFonts w:ascii="Courier New" w:cs="Courier New" w:eastAsia="Courier New" w:hAnsi="Courier New"/>
          <w:sz w:val="15"/>
          <w:szCs w:val="15"/>
          <w:color w:val="auto"/>
        </w:rPr>
      </w:pPr>
    </w:p>
    <w:p>
      <w:pPr>
        <w:ind w:right="31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delivered to the Initial Purchasers or counsel for the Initial Purchasers shall be deemed to be a representation and warranty by the Company to the Initial Purchasers as to the matters covered thereby.</w:t>
      </w:r>
    </w:p>
    <w:p>
      <w:pPr>
        <w:spacing w:after="0" w:line="175" w:lineRule="exact"/>
        <w:rPr>
          <w:sz w:val="20"/>
          <w:szCs w:val="20"/>
          <w:color w:val="auto"/>
        </w:rPr>
      </w:pPr>
    </w:p>
    <w:p>
      <w:pPr>
        <w:ind w:right="2939" w:firstLine="1661"/>
        <w:spacing w:after="0" w:line="251" w:lineRule="auto"/>
        <w:rPr>
          <w:sz w:val="20"/>
          <w:szCs w:val="20"/>
          <w:color w:val="auto"/>
        </w:rPr>
      </w:pPr>
      <w:r>
        <w:rPr>
          <w:rFonts w:ascii="Courier New" w:cs="Courier New" w:eastAsia="Courier New" w:hAnsi="Courier New"/>
          <w:sz w:val="15"/>
          <w:szCs w:val="15"/>
          <w:color w:val="auto"/>
        </w:rPr>
        <w:t>The Company acknowledges that the Initial Purchasers and, for purposes of the opinions to be delivered to the Initial Purchasers pursuant to Section 9 hereof, counsel to the Company and counsel to the Initial Purchasers will rely upon the accuracy and truth of the foregoing representations and hereby consents to such reliance.</w:t>
      </w:r>
    </w:p>
    <w:p>
      <w:pPr>
        <w:spacing w:after="0" w:line="176" w:lineRule="exact"/>
        <w:rPr>
          <w:sz w:val="20"/>
          <w:szCs w:val="20"/>
          <w:color w:val="auto"/>
        </w:rPr>
      </w:pPr>
    </w:p>
    <w:p>
      <w:pPr>
        <w:ind w:right="3119" w:firstLine="825"/>
        <w:spacing w:after="0" w:line="252" w:lineRule="auto"/>
        <w:tabs>
          <w:tab w:leader="none" w:pos="166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PURCHASERS' REPRESENTATIONS AND WARRANTIES. Each Initial Purchaser, severally and not jointly, represents and warrants to, and agrees with, the Company:</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5" w:right="1440" w:bottom="1440" w:gutter="0" w:footer="0" w:header="0"/>
        </w:sectPr>
      </w:pPr>
    </w:p>
    <w:bookmarkStart w:id="21" w:name="page22"/>
    <w:bookmarkEnd w:id="21"/>
    <w:p>
      <w:pPr>
        <w:ind w:left="285"/>
        <w:spacing w:after="0"/>
        <w:rPr>
          <w:sz w:val="20"/>
          <w:szCs w:val="20"/>
          <w:color w:val="auto"/>
        </w:rPr>
      </w:pPr>
      <w:r>
        <w:rPr>
          <w:rFonts w:ascii="Courier New" w:cs="Courier New" w:eastAsia="Courier New" w:hAnsi="Courier New"/>
          <w:sz w:val="15"/>
          <w:szCs w:val="15"/>
          <w:color w:val="auto"/>
        </w:rPr>
        <w:t>15</w:t>
      </w:r>
    </w:p>
    <w:p>
      <w:pPr>
        <w:spacing w:after="0" w:line="8" w:lineRule="exact"/>
        <w:rPr>
          <w:sz w:val="20"/>
          <w:szCs w:val="20"/>
          <w:color w:val="auto"/>
        </w:rPr>
      </w:pPr>
    </w:p>
    <w:p>
      <w:pPr>
        <w:ind w:left="2485" w:hanging="825"/>
        <w:spacing w:after="0"/>
        <w:tabs>
          <w:tab w:leader="none" w:pos="2485"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Initial Purchaser is a QIB with such knowledge</w:t>
      </w:r>
    </w:p>
    <w:p>
      <w:pPr>
        <w:spacing w:after="0" w:line="7" w:lineRule="exact"/>
        <w:rPr>
          <w:rFonts w:ascii="Courier New" w:cs="Courier New" w:eastAsia="Courier New" w:hAnsi="Courier New"/>
          <w:sz w:val="15"/>
          <w:szCs w:val="15"/>
          <w:color w:val="auto"/>
        </w:rPr>
      </w:pPr>
    </w:p>
    <w:p>
      <w:pPr>
        <w:ind w:left="5" w:right="32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experience in financial and business matters as is necessary in order to evaluate the merits and risks of an investment in the Notes.</w:t>
      </w:r>
    </w:p>
    <w:p>
      <w:pPr>
        <w:spacing w:after="0" w:line="174" w:lineRule="exact"/>
        <w:rPr>
          <w:rFonts w:ascii="Courier New" w:cs="Courier New" w:eastAsia="Courier New" w:hAnsi="Courier New"/>
          <w:sz w:val="15"/>
          <w:szCs w:val="15"/>
          <w:color w:val="auto"/>
        </w:rPr>
      </w:pPr>
    </w:p>
    <w:p>
      <w:pPr>
        <w:ind w:left="5" w:right="2839" w:firstLine="1655"/>
        <w:spacing w:after="0" w:line="250" w:lineRule="auto"/>
        <w:tabs>
          <w:tab w:leader="none" w:pos="2497"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Initial Purchaser (A) is not acquiring the Securities with a view to any distribution thereof or with any present intention of offering or selling any of the Securities in a transaction that would violate the Act or the securities laws of any state of the United States or any other applicable jurisdiction and (B) will be reoffering and reselling the Securities only to (x) QIBs in reliance on the exemption from the registration requirements of the Act provided by Rule 144A and (y) not more than five (5) Accredited Institutions that execute and deliver a letter containing certain representations and agreements in the form attached as Annex A to the Offering Memorandum. Such Initial Purchaser agrees that it will provide each person to whom it offers the Securities a copy of the Offering Memorandum prior to the acceptance of any consideration for such Securities from such person.</w:t>
      </w:r>
    </w:p>
    <w:p>
      <w:pPr>
        <w:spacing w:after="0" w:line="182" w:lineRule="exact"/>
        <w:rPr>
          <w:rFonts w:ascii="Courier New" w:cs="Courier New" w:eastAsia="Courier New" w:hAnsi="Courier New"/>
          <w:sz w:val="15"/>
          <w:szCs w:val="15"/>
          <w:color w:val="auto"/>
        </w:rPr>
      </w:pPr>
    </w:p>
    <w:p>
      <w:pPr>
        <w:ind w:left="2485" w:hanging="825"/>
        <w:spacing w:after="0"/>
        <w:tabs>
          <w:tab w:leader="none" w:pos="2485"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Initial Purchaser agrees that no form of general</w:t>
      </w:r>
    </w:p>
    <w:p>
      <w:pPr>
        <w:spacing w:after="0" w:line="7" w:lineRule="exact"/>
        <w:rPr>
          <w:rFonts w:ascii="Courier New" w:cs="Courier New" w:eastAsia="Courier New" w:hAnsi="Courier New"/>
          <w:sz w:val="15"/>
          <w:szCs w:val="15"/>
          <w:color w:val="auto"/>
        </w:rPr>
      </w:pPr>
    </w:p>
    <w:p>
      <w:pPr>
        <w:ind w:left="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solicitation or general advertising (within the meaning of Regulation D under the Act) has been or will be used by such Initial Purchaser or any of its representatives in connection with the offer and sale of the Securities pursuant hereto, including, but not limited to, articles, notices or other communications published in any newspaper, magazine or similar medium or broadcast over television or radio, or any seminar or meeting whose attendees have been invited by any general solicitation or general advertising.</w:t>
      </w:r>
    </w:p>
    <w:p>
      <w:pPr>
        <w:spacing w:after="0" w:line="175" w:lineRule="exact"/>
        <w:rPr>
          <w:rFonts w:ascii="Courier New" w:cs="Courier New" w:eastAsia="Courier New" w:hAnsi="Courier New"/>
          <w:sz w:val="15"/>
          <w:szCs w:val="15"/>
          <w:color w:val="auto"/>
        </w:rPr>
      </w:pPr>
    </w:p>
    <w:p>
      <w:pPr>
        <w:ind w:left="2485" w:hanging="825"/>
        <w:spacing w:after="0"/>
        <w:tabs>
          <w:tab w:leader="none" w:pos="2485"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Initial Purchaser agrees that, in connection</w:t>
      </w:r>
    </w:p>
    <w:p>
      <w:pPr>
        <w:spacing w:after="0" w:line="7" w:lineRule="exact"/>
        <w:rPr>
          <w:rFonts w:ascii="Courier New" w:cs="Courier New" w:eastAsia="Courier New" w:hAnsi="Courier New"/>
          <w:sz w:val="15"/>
          <w:szCs w:val="15"/>
          <w:color w:val="auto"/>
        </w:rPr>
      </w:pPr>
    </w:p>
    <w:p>
      <w:pPr>
        <w:ind w:left="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 Exempt Resales, such Initial Purchaser will solicit offers to buy the Securities only from, and will offer to sell the Securities only to, Eligible Purchasers. Each Initial Purchaser further agrees that it will offer to sell the Securities only to, and will solicit offers to buy the Securities only from (A) Eligible Purchasers that Such Initial Purchaser reasonably believes are QIBs,</w:t>
      </w:r>
    </w:p>
    <w:p>
      <w:pPr>
        <w:spacing w:after="0" w:line="2" w:lineRule="exact"/>
        <w:rPr>
          <w:rFonts w:ascii="Courier New" w:cs="Courier New" w:eastAsia="Courier New" w:hAnsi="Courier New"/>
          <w:sz w:val="15"/>
          <w:szCs w:val="15"/>
          <w:color w:val="auto"/>
        </w:rPr>
      </w:pPr>
    </w:p>
    <w:p>
      <w:pPr>
        <w:ind w:left="5" w:right="2839" w:hanging="5"/>
        <w:spacing w:after="0" w:line="250" w:lineRule="auto"/>
        <w:tabs>
          <w:tab w:leader="none" w:pos="37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Accredited Institutions who make the representations contained in, and execute and return to the Initial Purchaser, a certificate in the form of Annex A attached to the Offering Memorandum, that agree that (x) the Securities purchased by them may be resold, pledged or otherwise transferred other than pursuant to the Registration Statement or upon furnishing evidence satisfactory to the Company that the Securities are exempt from the registration requirement under the Act, only (I) to the Company or any of its subsidiaries, (II) to a person whom the seller reasonably believes is a QIB purchasing for its own account or for the account of a QIB in a transaction meeting the requirements of Rule 144A under the Act, (III) in an offshore transaction (as defined in Rule 902 under the Act) meeting the requirements of Rule 904 of the Act, (IV) in a transaction meeting the requirements of Rule 144 under the Act, (V) to an Accredited Institution that, prior to such transfer, furnishes the Trustee a signed letter containing certain representations and agreements relating to the registration of transfer of such Securities (the form of which is substantially the same as Annex B to the Offering Memorandum) and, if requested by the Company, an opinion of counsel acceptable to the Company that such transfer is in compliance with the Act, (VI) in accordance with another exemption from the registration requirements of the Act (and based upon an opinion of counsel acceptable to the Company) or (VII) pursuant to an effective registration statement and, in each case, in accordance with the applicable securities laws of any state of the United States or any other applicable jurisdiction and (y) they will deliver to each person to whom such Securities or an interest therein is transferred a notice substantially to the effect of the foregoing.</w:t>
      </w:r>
    </w:p>
    <w:p>
      <w:pPr>
        <w:spacing w:after="0" w:line="187" w:lineRule="exact"/>
        <w:rPr>
          <w:rFonts w:ascii="Courier New" w:cs="Courier New" w:eastAsia="Courier New" w:hAnsi="Courier New"/>
          <w:sz w:val="15"/>
          <w:szCs w:val="15"/>
          <w:color w:val="auto"/>
        </w:rPr>
      </w:pPr>
    </w:p>
    <w:p>
      <w:pPr>
        <w:ind w:left="5" w:right="2839" w:firstLine="1655"/>
        <w:spacing w:after="0" w:line="251" w:lineRule="auto"/>
        <w:tabs>
          <w:tab w:leader="none" w:pos="2497"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Initial Purchaser further represents and agrees that (1) it has not offered or sold and will not offer or sell any Securities to persons in the United Kingdom prior to the expiration of the period of six months from the issue date of the Securities, except to persons whose ordinary activities involve them in acquiring, holding, managing or disposing of investments (as principal or agent) for the purposes of their business or otherwise in circumstances which have not resulted and will not result in an</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5" w:top="295"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16</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offer to the public in the United Kingdom within the meaning of the Public Offers of Securities Regulations 1995, (ii) it has complied and will comply with all applicable provisions of the Financial Services Act 1986 with respect to anything done by it in relation to the Securities in, from or otherwise involving the United Kingdom and (iii) it has only issued or passed on and will only issue or pass on in the United Kingdom any document received by it in connection with the issuance of the Notes to a person who is of a kind described in Article 11(3) of the Financial Services Act of 1986 (Investment Advertisements) (Exemptions) Order 1996 or is a person to whom the document may otherwise lawfully be issued or passed on.</w:t>
      </w:r>
    </w:p>
    <w:p>
      <w:pPr>
        <w:spacing w:after="0" w:line="182" w:lineRule="exact"/>
        <w:rPr>
          <w:sz w:val="20"/>
          <w:szCs w:val="20"/>
          <w:color w:val="auto"/>
        </w:rPr>
      </w:pPr>
    </w:p>
    <w:p>
      <w:pPr>
        <w:ind w:left="2480" w:hanging="825"/>
        <w:spacing w:after="0"/>
        <w:tabs>
          <w:tab w:leader="none" w:pos="24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Initial Purchaser agrees that it will not offer,</w:t>
      </w:r>
    </w:p>
    <w:p>
      <w:pPr>
        <w:spacing w:after="0" w:line="7" w:lineRule="exact"/>
        <w:rPr>
          <w:rFonts w:ascii="Courier New" w:cs="Courier New" w:eastAsia="Courier New" w:hAnsi="Courier New"/>
          <w:sz w:val="15"/>
          <w:szCs w:val="15"/>
          <w:color w:val="auto"/>
        </w:rPr>
      </w:pPr>
    </w:p>
    <w:p>
      <w:pPr>
        <w:ind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sell or deliver any of the Securities in any jurisdiction outside the United States except under circumstances that will result in compliance with the applicable laws thereof, and that it will take at its own expense whatever action is required to permit its purchase and resale of the Securities in such jurisdictions. Such Initial Purchaser understands that no action has been taken to permit a public offering in any jurisdiction outside the United States where action would be required for such purpose.</w:t>
      </w:r>
    </w:p>
    <w:p>
      <w:pPr>
        <w:spacing w:after="0" w:line="176" w:lineRule="exact"/>
        <w:rPr>
          <w:sz w:val="20"/>
          <w:szCs w:val="20"/>
          <w:color w:val="auto"/>
        </w:rPr>
      </w:pPr>
    </w:p>
    <w:p>
      <w:pPr>
        <w:ind w:right="2839" w:firstLine="2491"/>
        <w:spacing w:after="0" w:line="251" w:lineRule="auto"/>
        <w:rPr>
          <w:sz w:val="20"/>
          <w:szCs w:val="20"/>
          <w:color w:val="auto"/>
        </w:rPr>
      </w:pPr>
      <w:r>
        <w:rPr>
          <w:rFonts w:ascii="Courier New" w:cs="Courier New" w:eastAsia="Courier New" w:hAnsi="Courier New"/>
          <w:sz w:val="15"/>
          <w:szCs w:val="15"/>
          <w:color w:val="auto"/>
        </w:rPr>
        <w:t>Each Initial Purchaser acknowledges that the Company, for purposes of the opinions to be delivered to each Initial Purchaser pursuant to Section 9 hereof, counsel to the Company and counsel to the Initial Purchasers will rely upon the accuracy and truth of the foregoing representations and each Initial Purchaser hereby consents to such reliance.</w:t>
      </w:r>
    </w:p>
    <w:p>
      <w:pPr>
        <w:spacing w:after="0" w:line="176" w:lineRule="exact"/>
        <w:rPr>
          <w:sz w:val="20"/>
          <w:szCs w:val="20"/>
          <w:color w:val="auto"/>
        </w:rPr>
      </w:pPr>
    </w:p>
    <w:p>
      <w:pPr>
        <w:ind w:left="1660" w:hanging="835"/>
        <w:spacing w:after="0"/>
        <w:tabs>
          <w:tab w:leader="none" w:pos="16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84" w:lineRule="exact"/>
        <w:rPr>
          <w:rFonts w:ascii="Courier New" w:cs="Courier New" w:eastAsia="Courier New" w:hAnsi="Courier New"/>
          <w:sz w:val="15"/>
          <w:szCs w:val="15"/>
          <w:color w:val="auto"/>
        </w:rPr>
      </w:pPr>
    </w:p>
    <w:p>
      <w:pPr>
        <w:ind w:right="2839" w:firstLine="1655"/>
        <w:spacing w:after="0" w:line="250" w:lineRule="auto"/>
        <w:tabs>
          <w:tab w:leader="none" w:pos="249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indemnify and hold harmless each Initial Purchaser, its directors, its officers and each person, if any, who controls such Initial Purchaser (within the meaning of Section 15 of the Act or Section 20 of the Exchange Act), from and against any and all losses, claims, damages, liabilities and judgments (including, without limitation, any legal or other expenses incurred in connection with investigating or defending any matter, including any action, that could give rise to any such losses, claims, damages, liabilities or judgments) caused by any untrue statement or alleged untrue statement of a material fact contained in the Offering Memorandum (or any amendment or supplement thereto) or the Preliminary Offering Memorandum or caused by any omission or alleged omission to state therein a material fact required to be stated therein or necessary to make the statements therein not misleading, except insofar as such losses, claims, damages, liabilities or judgments are caused by any such untrue statement or omission or alleged untrue statement or omission based upon information relating to any Initial Purchaser furnished in writing to the Company by such Initial Purchaser; provided, however, that the foregoing indemnity agreement with respect to any Preliminary Offering Memorandum shall not inure to the benefit of any Initial Purchaser who failed to deliver a Final Offering Memorandum, as then amended or supplemented, (so long as such Final Offering Memorandum and any amendment or supplement thereto was provided by the Company to the several Initial Purchasers in the requisite quantity and on a timely basis to permit proper delivery on or prior to the Closing Date) to the person asserting any losses, claims, damages, liabilities or judgments caused by any untrue statement or alleged untrue statement of a material fact contained in such Preliminary Offering Memorandum, or caused by any omission or alleged omission to state therein a material fact required to be stated therein or necessary to make the statements therein not misleading, if such material misstatement or omission or alleged material misstatement or omission was cured in the Final Offering Memorandum, as so amended or supplemented.</w:t>
      </w:r>
    </w:p>
    <w:p>
      <w:pPr>
        <w:spacing w:after="0" w:line="367" w:lineRule="exact"/>
        <w:rPr>
          <w:rFonts w:ascii="Courier New" w:cs="Courier New" w:eastAsia="Courier New" w:hAnsi="Courier New"/>
          <w:sz w:val="15"/>
          <w:szCs w:val="15"/>
          <w:color w:val="auto"/>
        </w:rPr>
      </w:pPr>
    </w:p>
    <w:p>
      <w:pPr>
        <w:ind w:right="2839" w:firstLine="1655"/>
        <w:spacing w:after="0" w:line="251" w:lineRule="auto"/>
        <w:tabs>
          <w:tab w:leader="none" w:pos="249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Initial Purchaser, severally and not jointly, agrees to indemnify and hold harmless the Company and its directors and officers and each person, if any, who controls (within the meaning of Section 15 of the Act or Section 20 of the Exchange Act) the Company to the same extent as the foregoing indemnity from the Company to the Initial Purchasers but only with reference to information</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5"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17</w:t>
      </w:r>
    </w:p>
    <w:p>
      <w:pPr>
        <w:spacing w:after="0" w:line="8" w:lineRule="exact"/>
        <w:rPr>
          <w:sz w:val="20"/>
          <w:szCs w:val="20"/>
          <w:color w:val="auto"/>
        </w:rPr>
      </w:pPr>
    </w:p>
    <w:p>
      <w:pPr>
        <w:jc w:val="both"/>
        <w:ind w:right="3019"/>
        <w:spacing w:after="0" w:line="252" w:lineRule="auto"/>
        <w:rPr>
          <w:sz w:val="20"/>
          <w:szCs w:val="20"/>
          <w:color w:val="auto"/>
        </w:rPr>
      </w:pPr>
      <w:r>
        <w:rPr>
          <w:rFonts w:ascii="Courier New" w:cs="Courier New" w:eastAsia="Courier New" w:hAnsi="Courier New"/>
          <w:sz w:val="15"/>
          <w:szCs w:val="15"/>
          <w:color w:val="auto"/>
        </w:rPr>
        <w:t>relating to such Initial Purchaser furnished in writing to the Company by such Initial Purchaser expressly for use in the Preliminary Offering Memorandum or the Offering Memorandum.</w:t>
      </w:r>
    </w:p>
    <w:p>
      <w:pPr>
        <w:spacing w:after="0" w:line="175" w:lineRule="exact"/>
        <w:rPr>
          <w:sz w:val="20"/>
          <w:szCs w:val="20"/>
          <w:color w:val="auto"/>
        </w:rPr>
      </w:pPr>
    </w:p>
    <w:p>
      <w:pPr>
        <w:ind w:right="2839" w:firstLine="1655"/>
        <w:spacing w:after="0" w:line="250" w:lineRule="auto"/>
        <w:tabs>
          <w:tab w:leader="none" w:pos="249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action shall be commenced involving any person in respect of which indemnity may be sought pursuant to Section 8(a) or 8(b) (the "INDEMNIFIED PARTY"), the indemnified party shall promptly notify the person against whom such indemnity may be sought (the "INDEMNIFYING PARTY") in writing and the indemnifying party shall assume the defense of such action, including the employment of counsel reasonably satisfactory to the indemnified party and the payment of all fees and expenses of such counsel, as incurred (except that in the case of any action in respect of which indemnity may be sought pursuant to both Sections 8(a) and 8(b), the Initial Purchasers shall not be required to assume the defense of such action pursuant to this Section 8(c), but may employ separate counsel and participate in the defense thereof, but the fees and expenses of such counsel, except as provided below, shall be at the expense of the Initial Purchasers). Any indemnified party shall have the right to employ separate counsel in any such action and participate in the defense thereof, but the fees and expenses of such counsel shall be at the expense of the indemnified party unless (i) the employment of such counsel shall have been specifically authorized in writing by the indemnifying party, (ii) the indemnifying party shall have failed to assume the defense of such action or employ counsel reasonably satisfactory to the indemnified party or (iii) the named parties to any such action (including any impleaded parties) include both the indemnified party and the indemnifying party, and the indemnified party shall have been advised by such counsel that there may be one or more legal defenses available to it which are different from or additional to those available to the indemnifying party (in which case the indemnifying party shall not have the right to assume the defense of such action on behalf of the indemnified party). In any such case, the indemnifying party shall not, in connection with any one action or separate but substantially similar or related actions in the same jurisdiction arising out of the same general allegations or circumstances, be liable for the fees and expenses of more than one separate firm of attorneys (in addition to any local counsel) for all indemnified parties and all such fees and expenses shall be reimbursed as they are incurred. Such firm shall be designated in writing by Donaldson, Lufkin &amp; Jenrette Securities Corporation, in the case of the parties indemnified pursuant to Section 8(a), and by the Company, in the case of parties indemnified pursuant to Section 8(b). The indemnifying party shall indemnify and hold harmless the indemnified party from and against any and all losses, claims, damages, liabilities and judgments by reason of any settlement of any action effected with the written consent of the indemnifying party. No indemnifying party shall, without the prior written consent of the indemnified party, effect any settlement or compromise of, or consent to the entry of judgment with respect to, any pending or threatened action in respect of which the indemnified party is or could have been a party and indemnity or contribution may be or could have been sought hereunder by the indemnified party, unless such settlement, compromise or judgment (i) includes an unconditional release of the indemnified party from all liability on claims that are or could have been the subject matter of such action and (ii) does not include a statement as to or an admission of fault, culpability or a failure to act, by or on behalf of the indemnified party.</w:t>
      </w:r>
    </w:p>
    <w:p>
      <w:pPr>
        <w:spacing w:after="0" w:line="375" w:lineRule="exact"/>
        <w:rPr>
          <w:rFonts w:ascii="Courier New" w:cs="Courier New" w:eastAsia="Courier New" w:hAnsi="Courier New"/>
          <w:sz w:val="15"/>
          <w:szCs w:val="15"/>
          <w:color w:val="auto"/>
        </w:rPr>
      </w:pPr>
    </w:p>
    <w:p>
      <w:pPr>
        <w:ind w:right="2839" w:firstLine="1655"/>
        <w:spacing w:after="0" w:line="250" w:lineRule="auto"/>
        <w:tabs>
          <w:tab w:leader="none" w:pos="249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the indemnification provided for in this Section 8 is unavailable to an indemnified party or insufficient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and judgments (i) in such proportion as is appropriate to reflect the relative benefits received by the Company, on the one hand, and the Initial Purchasers, on the other hand, from the offering of the Securities or (ii) if the allocation provided by clause 8(d)(i) above is not permitted by applicable law, in such proportion as is appropriate to reflect not only the relative benefits referred to in clause</w:t>
      </w:r>
    </w:p>
    <w:p>
      <w:pPr>
        <w:spacing w:after="0" w:line="4" w:lineRule="exact"/>
        <w:rPr>
          <w:rFonts w:ascii="Courier New" w:cs="Courier New" w:eastAsia="Courier New" w:hAnsi="Courier New"/>
          <w:sz w:val="15"/>
          <w:szCs w:val="15"/>
          <w:color w:val="auto"/>
        </w:rPr>
      </w:pPr>
    </w:p>
    <w:p>
      <w:pPr>
        <w:ind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8(d)(i) above but also the relative fault of the Company, on the one hand, and the Initial Purchasers, on the other hand, in connection with the statements or omissions which resulted in such losses, claims, damages, liabilities or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5"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18</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judgments, as well as any other relevant equitable considerations. The relative benefits received by the Company, on the one hand, and the Initial Purchasers, on the other hand, shall be deemed to be in the same proportion as the total net proceeds from the offering of the Securities (after Initial Purchaser's discounts or commissions, but before deducting expenses) received by the Company, and the total discounts and commissions received by the Initial Purchasers bear to the total price to investors of the Securities, in each case as set forth in the table on the cover page of the Offering Memorandum. The relative fault of the Company, on the one hand, and the Initial Purchasers, on the other hand, shall be determined by reference to, among other things, whether the untrue or alleged untrue statement of a material fact or the omission or alleged omission to state a material fact relates to information supplied by the Company, on the one hand, or the Initial Purchasers, on the other hand, and the parties' relative intent, knowledge, access to information and opportunity to correct or prevent such statement or omission.</w:t>
      </w:r>
    </w:p>
    <w:p>
      <w:pPr>
        <w:spacing w:after="0" w:line="184" w:lineRule="exact"/>
        <w:rPr>
          <w:sz w:val="20"/>
          <w:szCs w:val="20"/>
          <w:color w:val="auto"/>
        </w:rPr>
      </w:pPr>
    </w:p>
    <w:p>
      <w:pPr>
        <w:ind w:right="2839" w:firstLine="2491"/>
        <w:spacing w:after="0" w:line="250" w:lineRule="auto"/>
        <w:rPr>
          <w:sz w:val="20"/>
          <w:szCs w:val="20"/>
          <w:color w:val="auto"/>
        </w:rPr>
      </w:pPr>
      <w:r>
        <w:rPr>
          <w:rFonts w:ascii="Courier New" w:cs="Courier New" w:eastAsia="Courier New" w:hAnsi="Courier New"/>
          <w:sz w:val="15"/>
          <w:szCs w:val="15"/>
          <w:color w:val="auto"/>
        </w:rPr>
        <w:t>The Company and the Initial Purchasers agree that it would not be just and equitable if contribution pursuant to this Section 8(d) were determined by pro rata allocation (even if the Initial Purchasers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incurred by such indemnified party in connection with investigating or defending any matter, including any action, that could have given rise to such losses, claims, damages, liabilities or judgments. Notwithstanding the provisions of this Section 8, the Initial Purchasers shall not be required to contribute any amount in excess of the amount by which the total discounts and commissions received by such Initial Purchasers exceeds the amount of any damages which the Initial Purchasers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Initial Purchasers' obligations to contribute pursuant to this Section 8(d) are several in proportion to the respective principal amount of Securities purchased by each of the Initial Purchasers hereunder, and not joint.</w:t>
      </w:r>
    </w:p>
    <w:p>
      <w:pPr>
        <w:spacing w:after="0" w:line="365" w:lineRule="exact"/>
        <w:rPr>
          <w:sz w:val="20"/>
          <w:szCs w:val="20"/>
          <w:color w:val="auto"/>
        </w:rPr>
      </w:pPr>
    </w:p>
    <w:p>
      <w:pPr>
        <w:ind w:left="2480" w:hanging="825"/>
        <w:spacing w:after="0"/>
        <w:tabs>
          <w:tab w:leader="none" w:pos="24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remedies provided for in this Section 8 are not</w:t>
      </w:r>
    </w:p>
    <w:p>
      <w:pPr>
        <w:spacing w:after="0" w:line="7" w:lineRule="exact"/>
        <w:rPr>
          <w:rFonts w:ascii="Courier New" w:cs="Courier New" w:eastAsia="Courier New" w:hAnsi="Courier New"/>
          <w:sz w:val="15"/>
          <w:szCs w:val="15"/>
          <w:color w:val="auto"/>
        </w:rPr>
      </w:pPr>
    </w:p>
    <w:p>
      <w:pPr>
        <w:ind w:right="32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and shall not limit any rights or remedies which may otherwise be available to any indemnified party at law or in equity.</w:t>
      </w:r>
    </w:p>
    <w:p>
      <w:pPr>
        <w:spacing w:after="0" w:line="174" w:lineRule="exact"/>
        <w:rPr>
          <w:rFonts w:ascii="Courier New" w:cs="Courier New" w:eastAsia="Courier New" w:hAnsi="Courier New"/>
          <w:sz w:val="15"/>
          <w:szCs w:val="15"/>
          <w:color w:val="auto"/>
        </w:rPr>
      </w:pPr>
    </w:p>
    <w:p>
      <w:pPr>
        <w:jc w:val="both"/>
        <w:ind w:right="2839" w:firstLine="825"/>
        <w:spacing w:after="0" w:line="251" w:lineRule="auto"/>
        <w:tabs>
          <w:tab w:leader="none" w:pos="166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OF INITIAL PURCHASER'S OBLIGATIONS. The obligations of the Initial Purchasers to purchase the Firm Notes under this Agreement on the Closing Date and the Additional Notes, if any, on any Option Closing Date are subject to the satisfaction of each of the following conditions.</w:t>
      </w:r>
    </w:p>
    <w:p>
      <w:pPr>
        <w:spacing w:after="0" w:line="176" w:lineRule="exact"/>
        <w:rPr>
          <w:rFonts w:ascii="Courier New" w:cs="Courier New" w:eastAsia="Courier New" w:hAnsi="Courier New"/>
          <w:sz w:val="15"/>
          <w:szCs w:val="15"/>
          <w:color w:val="auto"/>
        </w:rPr>
      </w:pPr>
    </w:p>
    <w:p>
      <w:pPr>
        <w:jc w:val="both"/>
        <w:ind w:right="2839" w:firstLine="1655"/>
        <w:spacing w:after="0" w:line="251" w:lineRule="auto"/>
        <w:tabs>
          <w:tab w:leader="none" w:pos="2491"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representations and warranties of the Company contained in this Agreement shall be true and correct on the Closing Date, or on the Option Closing Date, if any, with the same force and effect as if made on and as of the Closing Date or on the Option Closing Date, if any.</w:t>
      </w:r>
    </w:p>
    <w:p>
      <w:pPr>
        <w:spacing w:after="0" w:line="176" w:lineRule="exact"/>
        <w:rPr>
          <w:rFonts w:ascii="Courier New" w:cs="Courier New" w:eastAsia="Courier New" w:hAnsi="Courier New"/>
          <w:sz w:val="15"/>
          <w:szCs w:val="15"/>
          <w:color w:val="auto"/>
        </w:rPr>
      </w:pPr>
    </w:p>
    <w:p>
      <w:pPr>
        <w:ind w:right="2839" w:firstLine="1655"/>
        <w:spacing w:after="0" w:line="250" w:lineRule="auto"/>
        <w:tabs>
          <w:tab w:leader="none" w:pos="2491"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hereof, (i) there shall not have occurred any downgrading, suspension or withdrawal of, nor shall any notice have been given of any potential or intended downgrading, suspension or withdrawal of, or of any review (or of any potential or intended review) for a possible change that does not indicate the direction of the possible change in, any rating of the Company or any securities of the Company (including, without limitation, the placing of any of the foregoing ratings on credit watch with negative or developing implications or under review with an uncertain direction) by any "nationally recognized statistical rating organization" as such term is defined for purposes of Rule 436(g)(2) under the</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5" w:right="1440" w:bottom="1440" w:gutter="0" w:footer="0" w:header="0"/>
        </w:sectPr>
      </w:pPr>
    </w:p>
    <w:bookmarkStart w:id="25" w:name="page26"/>
    <w:bookmarkEnd w:id="25"/>
    <w:p>
      <w:pPr>
        <w:ind w:left="285"/>
        <w:spacing w:after="0"/>
        <w:rPr>
          <w:sz w:val="20"/>
          <w:szCs w:val="20"/>
          <w:color w:val="auto"/>
        </w:rPr>
      </w:pPr>
      <w:r>
        <w:rPr>
          <w:rFonts w:ascii="Courier New" w:cs="Courier New" w:eastAsia="Courier New" w:hAnsi="Courier New"/>
          <w:sz w:val="15"/>
          <w:szCs w:val="15"/>
          <w:color w:val="auto"/>
        </w:rPr>
        <w:t>19</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Act, (ii) there shall not have occurred any change, nor shall any notice have been given of any potential or intended change, in the outlook for any rating of the Company or any securities of the Company by any such rating organization and</w:t>
      </w:r>
    </w:p>
    <w:p>
      <w:pPr>
        <w:spacing w:after="0" w:line="1" w:lineRule="exact"/>
        <w:rPr>
          <w:sz w:val="20"/>
          <w:szCs w:val="20"/>
          <w:color w:val="auto"/>
        </w:rPr>
      </w:pPr>
    </w:p>
    <w:p>
      <w:pPr>
        <w:ind w:left="5" w:right="2839" w:hanging="5"/>
        <w:spacing w:after="0" w:line="252" w:lineRule="auto"/>
        <w:tabs>
          <w:tab w:leader="none" w:pos="55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such rating organization shall have given notice that it has assigned (or is considering assigning) a lower rating to the Notes than that on which the Notes were marketed.</w:t>
      </w:r>
    </w:p>
    <w:p>
      <w:pPr>
        <w:spacing w:after="0" w:line="174" w:lineRule="exact"/>
        <w:rPr>
          <w:rFonts w:ascii="Courier New" w:cs="Courier New" w:eastAsia="Courier New" w:hAnsi="Courier New"/>
          <w:sz w:val="15"/>
          <w:szCs w:val="15"/>
          <w:color w:val="auto"/>
        </w:rPr>
      </w:pPr>
    </w:p>
    <w:p>
      <w:pPr>
        <w:ind w:left="2485" w:hanging="825"/>
        <w:spacing w:after="0"/>
        <w:tabs>
          <w:tab w:leader="none" w:pos="2485"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respective dates as of which information is</w:t>
      </w:r>
    </w:p>
    <w:p>
      <w:pPr>
        <w:spacing w:after="0" w:line="7" w:lineRule="exact"/>
        <w:rPr>
          <w:rFonts w:ascii="Courier New" w:cs="Courier New" w:eastAsia="Courier New" w:hAnsi="Courier New"/>
          <w:sz w:val="15"/>
          <w:szCs w:val="15"/>
          <w:color w:val="auto"/>
        </w:rPr>
      </w:pPr>
    </w:p>
    <w:p>
      <w:pPr>
        <w:ind w:left="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given in the Offering Memorandum other than as set forth in the Offering Memorandum (exclusive of any amendments or supplements thereto subsequent to the date of this Agreement), (i) there shall not have occurred any change or any development involving a prospective change in the condition, financial or otherwise, or the earnings, business, management or operations of the Company and its subsidiaries, taken as a whole, (ii) there shall not have been any change or any development involving a prospective change in the capital stock or in the long-term debt of the Company or any of its subsidiaries and (iii) neither the Company nor any of its subsidiaries shall have incurred any liability or obligation, direct or contingent, the effect of which, in any such case described in clause 9(c)(i), 9(c)(ii) or 9(c)(iii), in your judgment, is material and adverse and, in your judgment, makes it impracticable to market the Securities on the terms and in the manner contemplated in the Offering Memorandum.</w:t>
      </w:r>
    </w:p>
    <w:p>
      <w:pPr>
        <w:spacing w:after="0" w:line="360" w:lineRule="exact"/>
        <w:rPr>
          <w:rFonts w:ascii="Courier New" w:cs="Courier New" w:eastAsia="Courier New" w:hAnsi="Courier New"/>
          <w:sz w:val="15"/>
          <w:szCs w:val="15"/>
          <w:color w:val="auto"/>
        </w:rPr>
      </w:pPr>
    </w:p>
    <w:p>
      <w:pPr>
        <w:ind w:left="2485" w:hanging="825"/>
        <w:spacing w:after="0"/>
        <w:tabs>
          <w:tab w:leader="none" w:pos="2485"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on the Closing Date a</w:t>
      </w:r>
    </w:p>
    <w:p>
      <w:pPr>
        <w:spacing w:after="0" w:line="7" w:lineRule="exact"/>
        <w:rPr>
          <w:rFonts w:ascii="Courier New" w:cs="Courier New" w:eastAsia="Courier New" w:hAnsi="Courier New"/>
          <w:sz w:val="15"/>
          <w:szCs w:val="15"/>
          <w:color w:val="auto"/>
        </w:rPr>
      </w:pPr>
    </w:p>
    <w:p>
      <w:pPr>
        <w:ind w:left="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dated the Closing Date, and on an Option Closing Date, if any, dated such Option Closing Date, signed by the President and the Chief Financial Officer of the Company, confirming the matters set forth in Sections 6(dd), 9(a) and 9(b) and stating that the Company has complied with all the agreements and satisfied all of the conditions herein contained and required to be complied with or satisfied on or prior to the Closing Date or Option Closing Date, as the case may be.</w:t>
      </w:r>
    </w:p>
    <w:p>
      <w:pPr>
        <w:spacing w:after="0" w:line="175" w:lineRule="exact"/>
        <w:rPr>
          <w:rFonts w:ascii="Courier New" w:cs="Courier New" w:eastAsia="Courier New" w:hAnsi="Courier New"/>
          <w:sz w:val="15"/>
          <w:szCs w:val="15"/>
          <w:color w:val="auto"/>
        </w:rPr>
      </w:pPr>
    </w:p>
    <w:p>
      <w:pPr>
        <w:ind w:left="5" w:right="2839" w:firstLine="1655"/>
        <w:spacing w:after="0" w:line="251" w:lineRule="auto"/>
        <w:tabs>
          <w:tab w:leader="none" w:pos="2497"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on the Closing Date and each Option Closing Date, if any, an opinion (satisfactory to you and counsel for the Initial Purchasers), dated the Closing Date or such Option Closing Date, as the case may be, of Hale and Dorr, LLP, counsel for the Company, to the effect that:</w:t>
      </w:r>
    </w:p>
    <w:p>
      <w:pPr>
        <w:spacing w:after="0" w:line="176" w:lineRule="exact"/>
        <w:rPr>
          <w:rFonts w:ascii="Courier New" w:cs="Courier New" w:eastAsia="Courier New" w:hAnsi="Courier New"/>
          <w:sz w:val="15"/>
          <w:szCs w:val="15"/>
          <w:color w:val="auto"/>
        </w:rPr>
      </w:pPr>
    </w:p>
    <w:p>
      <w:pPr>
        <w:ind w:left="2485" w:right="2839" w:firstLine="6"/>
        <w:spacing w:after="0" w:line="251" w:lineRule="auto"/>
        <w:tabs>
          <w:tab w:leader="none" w:pos="2855"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its subsidiaries has been duly incorporated, is validly existing as a corporation in good standing under the laws of its jurisdiction of incorporation and has the corporate power and authority to own its property and to conduct its business as described in the Offering Memorandum;</w:t>
      </w:r>
    </w:p>
    <w:p>
      <w:pPr>
        <w:spacing w:after="0" w:line="353" w:lineRule="exact"/>
        <w:rPr>
          <w:rFonts w:ascii="Courier New" w:cs="Courier New" w:eastAsia="Courier New" w:hAnsi="Courier New"/>
          <w:sz w:val="15"/>
          <w:szCs w:val="15"/>
          <w:color w:val="auto"/>
        </w:rPr>
      </w:pPr>
    </w:p>
    <w:p>
      <w:pPr>
        <w:ind w:left="2485" w:right="2839" w:firstLine="6"/>
        <w:spacing w:after="0" w:line="251" w:lineRule="auto"/>
        <w:tabs>
          <w:tab w:leader="none" w:pos="2947"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duly qualified and is in good standing as a foreign corporation authorized to do business in The Commonwealth of Massachusetts and the State of California, which, to such counsel's knowledge, are the only states in which the Company owns or leases any real property in the United States;</w:t>
      </w:r>
    </w:p>
    <w:p>
      <w:pPr>
        <w:spacing w:after="0" w:line="353" w:lineRule="exact"/>
        <w:rPr>
          <w:rFonts w:ascii="Courier New" w:cs="Courier New" w:eastAsia="Courier New" w:hAnsi="Courier New"/>
          <w:sz w:val="15"/>
          <w:szCs w:val="15"/>
          <w:color w:val="auto"/>
        </w:rPr>
      </w:pPr>
    </w:p>
    <w:p>
      <w:pPr>
        <w:ind w:left="2485" w:right="2939" w:firstLine="6"/>
        <w:spacing w:after="0" w:line="252" w:lineRule="auto"/>
        <w:tabs>
          <w:tab w:leader="none" w:pos="3039"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outstanding shares of capital stock of the Company have been duly authorized and validly issued and are fully paid and non-assessable;</w:t>
      </w:r>
    </w:p>
    <w:p>
      <w:pPr>
        <w:spacing w:after="0" w:line="174" w:lineRule="exact"/>
        <w:rPr>
          <w:rFonts w:ascii="Courier New" w:cs="Courier New" w:eastAsia="Courier New" w:hAnsi="Courier New"/>
          <w:sz w:val="15"/>
          <w:szCs w:val="15"/>
          <w:color w:val="auto"/>
        </w:rPr>
      </w:pPr>
    </w:p>
    <w:p>
      <w:pPr>
        <w:ind w:left="2485" w:right="2939" w:firstLine="6"/>
        <w:spacing w:after="0" w:line="251" w:lineRule="auto"/>
        <w:tabs>
          <w:tab w:leader="none" w:pos="2947"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shares of capital stock of each of the Company's subsidiaries have been duly authorized and validly issued and are fully paid and non-assessable, and are owned by the Company, free and clear of any Liens (it being understood that counsel acceptable to the Initial Purchasers may provide such opinion in lieu of Hale and Dorr LLP);</w:t>
      </w:r>
    </w:p>
    <w:p>
      <w:pPr>
        <w:spacing w:after="0" w:line="175" w:lineRule="exact"/>
        <w:rPr>
          <w:rFonts w:ascii="Courier New" w:cs="Courier New" w:eastAsia="Courier New" w:hAnsi="Courier New"/>
          <w:sz w:val="15"/>
          <w:szCs w:val="15"/>
          <w:color w:val="auto"/>
        </w:rPr>
      </w:pPr>
    </w:p>
    <w:p>
      <w:pPr>
        <w:jc w:val="both"/>
        <w:ind w:left="2485" w:right="2839" w:firstLine="6"/>
        <w:spacing w:after="0" w:line="251" w:lineRule="auto"/>
        <w:tabs>
          <w:tab w:leader="none" w:pos="2855"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have been duly authorized and, when executed and authenticated in accordance with the provisions of the Indenture and delivered to and paid for by</w:t>
      </w:r>
    </w:p>
    <w:p>
      <w:pPr>
        <w:spacing w:after="0" w:line="35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5"/>
          </w:cols>
          <w:pgMar w:left="235" w:top="295"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20</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Initial Purchasers in accordance with the terms</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of this Agreement, will be entitled to the benefits</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of the Indenture and will be valid and binding</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obligations of the Company, enforceable in accordance</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with their terms except as (x) the enforceability</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thereof may be limited by applicable bankruptcy,</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insolvency or similar laws affecting creditors'</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rights generally and (y) rights of acceleration and</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availability of equitable remedies may be limited by</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equitable principles of general applicability;</w:t>
      </w:r>
    </w:p>
    <w:p>
      <w:pPr>
        <w:spacing w:after="0" w:line="185" w:lineRule="exact"/>
        <w:rPr>
          <w:sz w:val="20"/>
          <w:szCs w:val="20"/>
          <w:color w:val="auto"/>
        </w:rPr>
      </w:pPr>
    </w:p>
    <w:p>
      <w:pPr>
        <w:ind w:left="2200" w:right="2839" w:firstLine="6"/>
        <w:spacing w:after="0" w:line="250" w:lineRule="auto"/>
        <w:tabs>
          <w:tab w:leader="none" w:pos="266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has been duly authorized, executed and delivered by the Company and is a valid and binding agreement of the Company, enforceable against the Company in accordance with its terms except as</w:t>
      </w:r>
    </w:p>
    <w:p>
      <w:pPr>
        <w:spacing w:after="0" w:line="1" w:lineRule="exact"/>
        <w:rPr>
          <w:rFonts w:ascii="Courier New" w:cs="Courier New" w:eastAsia="Courier New" w:hAnsi="Courier New"/>
          <w:sz w:val="15"/>
          <w:szCs w:val="15"/>
          <w:color w:val="auto"/>
        </w:rPr>
      </w:pPr>
    </w:p>
    <w:p>
      <w:pPr>
        <w:ind w:left="2200" w:right="2939" w:firstLine="6"/>
        <w:spacing w:after="0" w:line="251" w:lineRule="auto"/>
        <w:tabs>
          <w:tab w:leader="none" w:pos="256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enforceability thereof may be limited by applicable bankruptcy, insolvency or similar laws affecting creditors' rights generally and (y) rights of acceleration and the availability of equitable remedies may be limited by equitable principles of general applicability;</w:t>
      </w:r>
    </w:p>
    <w:p>
      <w:pPr>
        <w:spacing w:after="0" w:line="175" w:lineRule="exact"/>
        <w:rPr>
          <w:rFonts w:ascii="Courier New" w:cs="Courier New" w:eastAsia="Courier New" w:hAnsi="Courier New"/>
          <w:sz w:val="15"/>
          <w:szCs w:val="15"/>
          <w:color w:val="auto"/>
        </w:rPr>
      </w:pPr>
    </w:p>
    <w:p>
      <w:pPr>
        <w:ind w:left="2200" w:right="2839" w:firstLine="6"/>
        <w:spacing w:after="0" w:line="250" w:lineRule="auto"/>
        <w:tabs>
          <w:tab w:leader="none" w:pos="275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are convertible into Common Stock in accordance with the terms of the Indenture; the shares of Common Stock initially issuable upon conversion of the Notes have been duly authorized and reserved for issuance upon such conversion and, when issued upon such conversion in accordance with the terms of the Notes, will be validly issued, fully paid and nonassessable; the issuance of the Notes, and the Common Stock issuable upon conversion thereof, will not be subject to any pre-emptive rights under the Delaware General Corporate Law, the certificate of incorporation or by-laws of the Company or, to such counsel's knowledge, similar rights granted by contract;</w:t>
      </w:r>
    </w:p>
    <w:p>
      <w:pPr>
        <w:spacing w:after="0" w:line="183" w:lineRule="exact"/>
        <w:rPr>
          <w:rFonts w:ascii="Courier New" w:cs="Courier New" w:eastAsia="Courier New" w:hAnsi="Courier New"/>
          <w:sz w:val="15"/>
          <w:szCs w:val="15"/>
          <w:color w:val="auto"/>
        </w:rPr>
      </w:pPr>
    </w:p>
    <w:p>
      <w:pPr>
        <w:ind w:left="2200" w:right="3119" w:firstLine="6"/>
        <w:spacing w:after="0" w:line="252" w:lineRule="auto"/>
        <w:tabs>
          <w:tab w:leader="none" w:pos="284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the Company conforms as to legal matters to the description thereof contained in the Offering Memorandum;</w:t>
      </w:r>
    </w:p>
    <w:p>
      <w:pPr>
        <w:spacing w:after="0" w:line="174" w:lineRule="exact"/>
        <w:rPr>
          <w:rFonts w:ascii="Courier New" w:cs="Courier New" w:eastAsia="Courier New" w:hAnsi="Courier New"/>
          <w:sz w:val="15"/>
          <w:szCs w:val="15"/>
          <w:color w:val="auto"/>
        </w:rPr>
      </w:pPr>
    </w:p>
    <w:p>
      <w:pPr>
        <w:ind w:left="2200" w:right="3579" w:firstLine="6"/>
        <w:spacing w:after="0" w:line="253" w:lineRule="auto"/>
        <w:tabs>
          <w:tab w:leader="none" w:pos="266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the Company;</w:t>
      </w:r>
    </w:p>
    <w:p>
      <w:pPr>
        <w:spacing w:after="0" w:line="174" w:lineRule="exact"/>
        <w:rPr>
          <w:rFonts w:ascii="Courier New" w:cs="Courier New" w:eastAsia="Courier New" w:hAnsi="Courier New"/>
          <w:sz w:val="15"/>
          <w:szCs w:val="15"/>
          <w:color w:val="auto"/>
        </w:rPr>
      </w:pPr>
    </w:p>
    <w:p>
      <w:pPr>
        <w:ind w:left="2200" w:right="2839" w:firstLine="6"/>
        <w:spacing w:after="0" w:line="250" w:lineRule="auto"/>
        <w:tabs>
          <w:tab w:leader="none" w:pos="256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Rights Agreement has been duly authorized, executed and delivered by the Company and is a valid and binding agreement of the Company enforceable against the Company in accordance with its terms, except as (x) the enforceability thereof may be limited by bankruptcy, insolvency or similar laws affecting creditors' rights generally, (y) rights of acceleration and the availability of equitable remedies may be limited by equitable principles of general applicability and (z) except as to indemnification and contribution provisions under the Registration Rights Agreement may be limited under applicable law;</w:t>
      </w:r>
    </w:p>
    <w:p>
      <w:pPr>
        <w:spacing w:after="0" w:line="183" w:lineRule="exact"/>
        <w:rPr>
          <w:rFonts w:ascii="Courier New" w:cs="Courier New" w:eastAsia="Courier New" w:hAnsi="Courier New"/>
          <w:sz w:val="15"/>
          <w:szCs w:val="15"/>
          <w:color w:val="auto"/>
        </w:rPr>
      </w:pPr>
    </w:p>
    <w:p>
      <w:pPr>
        <w:ind w:left="2200" w:right="2939" w:firstLine="6"/>
        <w:spacing w:after="0" w:line="250" w:lineRule="auto"/>
        <w:tabs>
          <w:tab w:leader="none" w:pos="266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under the captions "Description of Convertible Notes," "Description of Capital Stock," "Summary of Certain United States Federal Income Tax Consequences," "Plan of Distribution," "Notice to Investors," and in the first, second, third, fourth, sixth and seventh paragraphs of "Plan of Distribution" in the Offering Memorandum, insofar as such statements constitute a summary of the legal matters, documents or proceedings referred to therein, fairly summarize in all material respects such legal matters, documents and proceedings;</w:t>
      </w:r>
    </w:p>
    <w:p>
      <w:pPr>
        <w:spacing w:after="0" w:line="18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939"/>
          </w:cols>
          <w:pgMar w:left="520" w:top="295"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21</w:t>
      </w:r>
    </w:p>
    <w:p>
      <w:pPr>
        <w:spacing w:after="0" w:line="8" w:lineRule="exact"/>
        <w:rPr>
          <w:sz w:val="20"/>
          <w:szCs w:val="20"/>
          <w:color w:val="auto"/>
        </w:rPr>
      </w:pPr>
    </w:p>
    <w:p>
      <w:pPr>
        <w:ind w:left="2200" w:right="2839" w:firstLine="6"/>
        <w:spacing w:after="0" w:line="250" w:lineRule="auto"/>
        <w:tabs>
          <w:tab w:leader="none" w:pos="275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and the other Operative Documents by the Company, the compliance by the Company with all provisions hereof and thereof and the consummation of the transactions contemplated hereby and thereby will not (i) require any consent, approval, authorization or other order of, or qualification with, any court or governmental body or agency (except such as may be required under the securities or Blue Sky laws of the various states and by Federal and state securities laws with respect to the Company's obligation under the Registration Rights Agreement), (ii) contravene any of the terms or provisions of, or a default under, the charter or by-laws of the Company or any indenture, loan agreement, mortgage, lease or other agreement or instrument that is filed as an exhibit to any of the Company's filings with the Securities and Exchange Commission, under the Exchange Act which are incorporated by reference in the Offering Memorandum, (iii) violate any applicable law or any rule or regulation, or, to such counsel's knowledge, judgment, order or decree naming the Company or any subsidiary of any United States or Massachusetts court or any governmental body or agency having jurisdiction over the Company or its property;</w:t>
      </w:r>
    </w:p>
    <w:p>
      <w:pPr>
        <w:spacing w:after="0" w:line="188" w:lineRule="exact"/>
        <w:rPr>
          <w:rFonts w:ascii="Courier New" w:cs="Courier New" w:eastAsia="Courier New" w:hAnsi="Courier New"/>
          <w:sz w:val="15"/>
          <w:szCs w:val="15"/>
          <w:color w:val="auto"/>
        </w:rPr>
      </w:pPr>
    </w:p>
    <w:p>
      <w:pPr>
        <w:ind w:left="2200" w:right="2939" w:firstLine="6"/>
        <w:spacing w:after="0" w:line="251" w:lineRule="auto"/>
        <w:tabs>
          <w:tab w:leader="none" w:pos="284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counsel does not know of any legal or governmental proceedings pending or threatened to which the Company or any of its subsidiaries is or could be a party or to which any of its property is or could be subject, which such counsel believes are likely to result, singly or in the aggregate, in a Material Adverse Effect;</w:t>
      </w:r>
    </w:p>
    <w:p>
      <w:pPr>
        <w:spacing w:after="0" w:line="175" w:lineRule="exact"/>
        <w:rPr>
          <w:rFonts w:ascii="Courier New" w:cs="Courier New" w:eastAsia="Courier New" w:hAnsi="Courier New"/>
          <w:sz w:val="15"/>
          <w:szCs w:val="15"/>
          <w:color w:val="auto"/>
        </w:rPr>
      </w:pPr>
    </w:p>
    <w:p>
      <w:pPr>
        <w:ind w:left="2200" w:right="2939" w:firstLine="6"/>
        <w:spacing w:after="0" w:line="251" w:lineRule="auto"/>
        <w:tabs>
          <w:tab w:leader="none" w:pos="275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and, after giving effect to the offering and sale of the Notes and the application of the net proceeds thereof as described in the Offering Memorandum, will not be, an "investment company" as such term is defined in the Investment Company Act of 1940, as amended;</w:t>
      </w:r>
    </w:p>
    <w:p>
      <w:pPr>
        <w:spacing w:after="0" w:line="175" w:lineRule="exact"/>
        <w:rPr>
          <w:rFonts w:ascii="Courier New" w:cs="Courier New" w:eastAsia="Courier New" w:hAnsi="Courier New"/>
          <w:sz w:val="15"/>
          <w:szCs w:val="15"/>
          <w:color w:val="auto"/>
        </w:rPr>
      </w:pPr>
    </w:p>
    <w:p>
      <w:pPr>
        <w:ind w:left="2200" w:right="2839" w:firstLine="6"/>
        <w:spacing w:after="0" w:line="250" w:lineRule="auto"/>
        <w:tabs>
          <w:tab w:leader="none" w:pos="266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complies as to form in all material respects with the requirements of the TIA, and the rules and regulations of the Commission applicable to an indenture which is qualified thereunder. Based upon and assuming the accuracy of the representations warranties of the Company and the Initial Purchasers, it is not necessary in connection with the offer, sale and delivery of the Notes to the Initial Purchasers in the manner contemplated by this Agreement or in connection with the Exempt Resales in the manner contemplated by this Agreement to qualify the Indenture under the TIA, it being understood that no opinion is expressed as to any subsequent resale of the Notes or the Common Stock;</w:t>
      </w:r>
    </w:p>
    <w:p>
      <w:pPr>
        <w:spacing w:after="0" w:line="183" w:lineRule="exact"/>
        <w:rPr>
          <w:rFonts w:ascii="Courier New" w:cs="Courier New" w:eastAsia="Courier New" w:hAnsi="Courier New"/>
          <w:sz w:val="15"/>
          <w:szCs w:val="15"/>
          <w:color w:val="auto"/>
        </w:rPr>
      </w:pPr>
    </w:p>
    <w:p>
      <w:pPr>
        <w:ind w:left="2200" w:right="2939" w:firstLine="6"/>
        <w:spacing w:after="0" w:line="250" w:lineRule="auto"/>
        <w:tabs>
          <w:tab w:leader="none" w:pos="275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not necessary in connection with the offer, sale and delivery of the Securities to the Initial Purchasers as contemplated by this Agreement or for the Exempt Resales to register the Securities under the Securities Act of 1933, assuming that the accuracy of, and compliance with, the Initial Purchasers' representations and agreements contained in Section 7 of this Agreement and (ii) the accuracy of the representations of the Company set forth in Sections 6(gg) of this Agreement.</w:t>
      </w:r>
    </w:p>
    <w:p>
      <w:pPr>
        <w:spacing w:after="0" w:line="181" w:lineRule="exact"/>
        <w:rPr>
          <w:rFonts w:ascii="Courier New" w:cs="Courier New" w:eastAsia="Courier New" w:hAnsi="Courier New"/>
          <w:sz w:val="15"/>
          <w:szCs w:val="15"/>
          <w:color w:val="auto"/>
        </w:rPr>
      </w:pPr>
    </w:p>
    <w:p>
      <w:pPr>
        <w:ind w:left="2200" w:right="2939" w:firstLine="6"/>
        <w:spacing w:after="0" w:line="251" w:lineRule="auto"/>
        <w:tabs>
          <w:tab w:leader="none" w:pos="284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document filed under the Exchange Act incorporated by reference in the Offering Memorandum (except for financial statements and other financial and</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939"/>
          </w:cols>
          <w:pgMar w:left="520" w:top="295"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22</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statistical data included therein, as to which such</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counsel need not express any opinion), complied as to</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form when filed with the Commission in all material</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respects with the Exchange Act and the rules and</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regulations of the Commission thereunder.</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Such counsel shall also state that it has no reason</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to believe that, as of the date of the Offering</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Memorandum or as of the Closing Date or the Option</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Closing Date, as the case may be, the Offering</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Memorandum, as amended or supplemented, if applicable</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(except for the financial statements and other</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financial and statistical data included therein, as</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to which such counsel need not express any belief)</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contains any untrue statement of a material fact or</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omits to state a material fact necessary in order to</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make the statements therein, in the light of the</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circumstances under which they were made, not</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misleading.</w:t>
      </w:r>
    </w:p>
    <w:p>
      <w:pPr>
        <w:spacing w:after="0" w:line="185" w:lineRule="exact"/>
        <w:rPr>
          <w:sz w:val="20"/>
          <w:szCs w:val="20"/>
          <w:color w:val="auto"/>
        </w:rPr>
      </w:pPr>
    </w:p>
    <w:p>
      <w:pPr>
        <w:ind w:right="2839" w:firstLine="1661"/>
        <w:spacing w:after="0" w:line="251" w:lineRule="auto"/>
        <w:rPr>
          <w:sz w:val="20"/>
          <w:szCs w:val="20"/>
          <w:color w:val="auto"/>
        </w:rPr>
      </w:pPr>
      <w:r>
        <w:rPr>
          <w:rFonts w:ascii="Courier New" w:cs="Courier New" w:eastAsia="Courier New" w:hAnsi="Courier New"/>
          <w:sz w:val="15"/>
          <w:szCs w:val="15"/>
          <w:color w:val="auto"/>
        </w:rPr>
        <w:t>The opinion of Hale and Dorr LLP described in Section 9(e) above shall be rendered to you at the request of the Company and shall so state therein. In giving such opinion with respect to the matters covered by the immediately preceding paragraph, Hale and Dorr LLP may state that their opinion and belief are based upon their participation in the preparation of the Offering Memorandum and any amendments or supplements thereto and review and discussion of the contents thereof, but are without independent check or verification except as specified.</w:t>
      </w:r>
    </w:p>
    <w:p>
      <w:pPr>
        <w:spacing w:after="0" w:line="175" w:lineRule="exact"/>
        <w:rPr>
          <w:sz w:val="20"/>
          <w:szCs w:val="20"/>
          <w:color w:val="auto"/>
        </w:rPr>
      </w:pPr>
    </w:p>
    <w:p>
      <w:pPr>
        <w:ind w:right="3019" w:firstLine="1655"/>
        <w:spacing w:after="0" w:line="252" w:lineRule="auto"/>
        <w:tabs>
          <w:tab w:leader="none" w:pos="249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Purchasers shall have received on the Closing Date an opinion of Hughes &amp; Luce, patent counsel to the Company, dated the Closing date, in form and substance reasonably acceptable to them.</w:t>
      </w:r>
    </w:p>
    <w:p>
      <w:pPr>
        <w:spacing w:after="0" w:line="174" w:lineRule="exact"/>
        <w:rPr>
          <w:rFonts w:ascii="Courier New" w:cs="Courier New" w:eastAsia="Courier New" w:hAnsi="Courier New"/>
          <w:sz w:val="15"/>
          <w:szCs w:val="15"/>
          <w:color w:val="auto"/>
        </w:rPr>
      </w:pPr>
    </w:p>
    <w:p>
      <w:pPr>
        <w:ind w:right="2839" w:firstLine="1655"/>
        <w:spacing w:after="0" w:line="251" w:lineRule="auto"/>
        <w:tabs>
          <w:tab w:leader="none" w:pos="249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Purchasers shall have received on the Closing Date the opinion of Kathryn L. Jorden, General Counsel to the Company, to the effect that the execution, delivery and performance of this Agreement and the other Operative Documents by the Company, the compliance by the Company with all provisions hereof and thereof and the consummation of the transactions contemplated hereby and thereby will not contravene any of the terms or provisions of, or a default under, the charter or by-laws of the Company or any indenture, loan agreement, mortgage, lease or other agreement or instrument that is material to the Company.</w:t>
      </w:r>
    </w:p>
    <w:p>
      <w:pPr>
        <w:spacing w:after="0" w:line="175" w:lineRule="exact"/>
        <w:rPr>
          <w:rFonts w:ascii="Courier New" w:cs="Courier New" w:eastAsia="Courier New" w:hAnsi="Courier New"/>
          <w:sz w:val="15"/>
          <w:szCs w:val="15"/>
          <w:color w:val="auto"/>
        </w:rPr>
      </w:pPr>
    </w:p>
    <w:p>
      <w:pPr>
        <w:ind w:left="2480" w:hanging="825"/>
        <w:spacing w:after="0"/>
        <w:tabs>
          <w:tab w:leader="none" w:pos="24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Purchasers shall have received on the</w:t>
      </w:r>
    </w:p>
    <w:p>
      <w:pPr>
        <w:spacing w:after="0" w:line="7" w:lineRule="exact"/>
        <w:rPr>
          <w:rFonts w:ascii="Courier New" w:cs="Courier New" w:eastAsia="Courier New" w:hAnsi="Courier New"/>
          <w:sz w:val="15"/>
          <w:szCs w:val="15"/>
          <w:color w:val="auto"/>
        </w:rPr>
      </w:pPr>
    </w:p>
    <w:p>
      <w:pPr>
        <w:ind w:right="28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and on each Option Closing Date, an opinion, dated the Closing Date, of Ropes &amp; Gray, counsel for the Initial Purchasers, in form and substance reasonably satisfactory to the Initial Purchasers.</w:t>
      </w:r>
    </w:p>
    <w:p>
      <w:pPr>
        <w:spacing w:after="0" w:line="174" w:lineRule="exact"/>
        <w:rPr>
          <w:rFonts w:ascii="Courier New" w:cs="Courier New" w:eastAsia="Courier New" w:hAnsi="Courier New"/>
          <w:sz w:val="15"/>
          <w:szCs w:val="15"/>
          <w:color w:val="auto"/>
        </w:rPr>
      </w:pPr>
    </w:p>
    <w:p>
      <w:pPr>
        <w:ind w:right="2939" w:firstLine="1655"/>
        <w:spacing w:after="0" w:line="250" w:lineRule="auto"/>
        <w:tabs>
          <w:tab w:leader="none" w:pos="249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Purchasers shall have received, at the time this Agreement is executed and at the Closing Date and each Option Closing Date, letters dated the date hereof or the Closing Date or an Option Closing Date, as the case may be, in the form and substance satisfactory to the Initial Purchasers from each of PricewaterhouseCoopers, LLP, independent public accountants to the Company and Network24 Communications, Inc., containing the information and statements of the type ordinarily included in accountants' "comfort letters" to the Initial Purchasers with respect to the Initial Purchasers with respect to the financial statements and certain financial information contained in the Offering Memorandum.</w:t>
      </w:r>
    </w:p>
    <w:p>
      <w:pPr>
        <w:spacing w:after="0" w:line="181" w:lineRule="exact"/>
        <w:rPr>
          <w:rFonts w:ascii="Courier New" w:cs="Courier New" w:eastAsia="Courier New" w:hAnsi="Courier New"/>
          <w:sz w:val="15"/>
          <w:szCs w:val="15"/>
          <w:color w:val="auto"/>
        </w:rPr>
      </w:pPr>
    </w:p>
    <w:p>
      <w:pPr>
        <w:ind w:right="3119" w:firstLine="1655"/>
        <w:spacing w:after="0" w:line="253" w:lineRule="auto"/>
        <w:tabs>
          <w:tab w:leader="none" w:pos="249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shall have been approved by the NASD for trading and duly listed in PORTAL.</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5"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23</w:t>
      </w:r>
    </w:p>
    <w:p>
      <w:pPr>
        <w:spacing w:after="0" w:line="8" w:lineRule="exact"/>
        <w:rPr>
          <w:sz w:val="20"/>
          <w:szCs w:val="20"/>
          <w:color w:val="auto"/>
        </w:rPr>
      </w:pPr>
    </w:p>
    <w:p>
      <w:pPr>
        <w:ind w:left="2480" w:hanging="825"/>
        <w:spacing w:after="0"/>
        <w:tabs>
          <w:tab w:leader="none" w:pos="24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shall have been made for the approval for</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quotation on the Nasdaq National Market for the Securities.</w:t>
      </w:r>
    </w:p>
    <w:p>
      <w:pPr>
        <w:spacing w:after="0" w:line="184" w:lineRule="exact"/>
        <w:rPr>
          <w:rFonts w:ascii="Courier New" w:cs="Courier New" w:eastAsia="Courier New" w:hAnsi="Courier New"/>
          <w:sz w:val="15"/>
          <w:szCs w:val="15"/>
          <w:color w:val="auto"/>
        </w:rPr>
      </w:pPr>
    </w:p>
    <w:p>
      <w:pPr>
        <w:ind w:left="2480" w:hanging="825"/>
        <w:spacing w:after="0"/>
        <w:tabs>
          <w:tab w:leader="none" w:pos="24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Purchasers shall have received a</w:t>
      </w:r>
    </w:p>
    <w:p>
      <w:pPr>
        <w:spacing w:after="0" w:line="7" w:lineRule="exact"/>
        <w:rPr>
          <w:rFonts w:ascii="Courier New" w:cs="Courier New" w:eastAsia="Courier New" w:hAnsi="Courier New"/>
          <w:sz w:val="15"/>
          <w:szCs w:val="15"/>
          <w:color w:val="auto"/>
        </w:rPr>
      </w:pPr>
    </w:p>
    <w:p>
      <w:pPr>
        <w:ind w:right="33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 conformed as executed, of the Indenture which shall have been entered into by the Company and the Trustee.</w:t>
      </w:r>
    </w:p>
    <w:p>
      <w:pPr>
        <w:spacing w:after="0" w:line="174" w:lineRule="exact"/>
        <w:rPr>
          <w:rFonts w:ascii="Courier New" w:cs="Courier New" w:eastAsia="Courier New" w:hAnsi="Courier New"/>
          <w:sz w:val="15"/>
          <w:szCs w:val="15"/>
          <w:color w:val="auto"/>
        </w:rPr>
      </w:pPr>
    </w:p>
    <w:p>
      <w:pPr>
        <w:ind w:right="2839" w:firstLine="1655"/>
        <w:spacing w:after="0" w:line="252" w:lineRule="auto"/>
        <w:tabs>
          <w:tab w:leader="none" w:pos="2491"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executed the Registration Rights Agreement and the Initial Purchasers shall have received an original copy thereof, duly executed by the Company.</w:t>
      </w:r>
    </w:p>
    <w:p>
      <w:pPr>
        <w:spacing w:after="0" w:line="174" w:lineRule="exact"/>
        <w:rPr>
          <w:rFonts w:ascii="Courier New" w:cs="Courier New" w:eastAsia="Courier New" w:hAnsi="Courier New"/>
          <w:sz w:val="15"/>
          <w:szCs w:val="15"/>
          <w:color w:val="auto"/>
        </w:rPr>
      </w:pPr>
    </w:p>
    <w:p>
      <w:pPr>
        <w:ind w:left="2480" w:hanging="825"/>
        <w:spacing w:after="0"/>
        <w:tabs>
          <w:tab w:leader="none" w:pos="24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have failed at or prior to the</w:t>
      </w:r>
    </w:p>
    <w:p>
      <w:pPr>
        <w:spacing w:after="0" w:line="7" w:lineRule="exact"/>
        <w:rPr>
          <w:rFonts w:ascii="Courier New" w:cs="Courier New" w:eastAsia="Courier New" w:hAnsi="Courier New"/>
          <w:sz w:val="15"/>
          <w:szCs w:val="15"/>
          <w:color w:val="auto"/>
        </w:rPr>
      </w:pPr>
    </w:p>
    <w:p>
      <w:pPr>
        <w:ind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or the Option Closing Date, as the case may be, to perform or comply with any of the agreements herein contained and required to be performed or complied with by the Company at or prior to the Closing Date or Option Closing Date, as the case may be.</w:t>
      </w:r>
    </w:p>
    <w:p>
      <w:pPr>
        <w:spacing w:after="0" w:line="176" w:lineRule="exact"/>
        <w:rPr>
          <w:rFonts w:ascii="Courier New" w:cs="Courier New" w:eastAsia="Courier New" w:hAnsi="Courier New"/>
          <w:sz w:val="15"/>
          <w:szCs w:val="15"/>
          <w:color w:val="auto"/>
        </w:rPr>
      </w:pPr>
    </w:p>
    <w:p>
      <w:pPr>
        <w:ind w:right="2839" w:firstLine="825"/>
        <w:spacing w:after="0" w:line="250" w:lineRule="auto"/>
        <w:tabs>
          <w:tab w:leader="none" w:pos="166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AGREEMENT AND TERMINATION. This Agreement may be terminated at any time on or prior to the Closing Date by the Initial Purchasers by written notice to the Company if any of the following has occurred: (i) any outbreak or escalation of hostilities or other national or international calamity or crisis or change in economic conditions or in the financial markets of the United States or elsewhere that, in the Initial Purchasers' judgment, is material and adverse and, in the Initial Purchasers' judgment, makes it impracticable to market the Securities on the terms and in the manner contemplated in the Offering Memorandum, (ii) the suspension or material limitation of trading in securities generally or other instruments on the New York Stock Exchange, the American Stock Exchange, the Chicago Board of Options Exchange, the Chicago Mercantile Exchange, the Chicago Board of Trade or the Nasdaq National Market or limitation on prices for securities or other instruments on any such exchange or the Nasdaq National Market, (iii) the suspension of trading of any securities of the Company on any exchange or in the over-the-counter market, (iv) the enactment, publication, decree or other promulgation of any federal or state statute, regulation, rule or order of any court or other governmental authority which in your opinion materially and adversely affects, or will materially and adversely affect, the business, prospects, financial condition or results of operations of the Company and its subsidiaries, taken as a whole, (v) the declaration of a banking moratorium by either federal or New York State authorities or (vi) the taking of any action by any federal, state or local government or agency in respect of its monetary or fiscal affairs which in your opinion has a material adverse effect on the financial markets in the United States.</w:t>
      </w:r>
    </w:p>
    <w:p>
      <w:pPr>
        <w:spacing w:after="0" w:line="188" w:lineRule="exact"/>
        <w:rPr>
          <w:sz w:val="20"/>
          <w:szCs w:val="20"/>
          <w:color w:val="auto"/>
        </w:rPr>
      </w:pPr>
    </w:p>
    <w:p>
      <w:pPr>
        <w:ind w:right="2839" w:firstLine="1661"/>
        <w:spacing w:after="0" w:line="250" w:lineRule="auto"/>
        <w:rPr>
          <w:sz w:val="20"/>
          <w:szCs w:val="20"/>
          <w:color w:val="auto"/>
        </w:rPr>
      </w:pPr>
      <w:r>
        <w:rPr>
          <w:rFonts w:ascii="Courier New" w:cs="Courier New" w:eastAsia="Courier New" w:hAnsi="Courier New"/>
          <w:sz w:val="15"/>
          <w:szCs w:val="15"/>
          <w:color w:val="auto"/>
        </w:rPr>
        <w:t>If on the Closing Date or the Option Closing Date, as the case may be, any one or more of the Initial Purchasers shall fail or refuse to purchase the Notes which it or they have agreed to purchase hereunder on such date and the aggregate principal amount of the Notes which such defaulting Initial Purchaser or Initial Purchasers, as the case may be, agreed but failed or refused to purchase is not more than one-tenth of the aggregate principal amount of the Notes to be purchased on such date by all Initial Purchasers, each non-defaulting Initial Purchaser shall be obligated severally, in the proportion which the principal amount of the Notes set forth opposite its name in Schedule A bears to the aggregate principal amount of the Notes which all the non-defaulting Initial Purchasers, as the case may be, have agreed to purchase, or in such other proportion as you may specify, to purchase the Notes which such defaulting Initial Purchaser or Initial Purchasers, as the case may be, agreed but failed or refused to purchase on such date; provided that in no event shall the aggregate principal amount of the Notes which any Initial Purchaser has agreed to purchase pursuant to Section 2 hereof be increased pursuant to this Section 10 by an amount in excess of one-ninth of such principal amount of the Notes without the written consent of such Initial Purchaser. If on the Closing Date, or an Option Closing Date, as the case may be, any Initial Purchaser or Initial Purchasers shall fail or refuse to purchase the Notes and the aggregate principal amount of the Notes with respect to which such default occurs is more than one-tenth of the aggregate principal amount of the</w:t>
      </w:r>
    </w:p>
    <w:p>
      <w:pPr>
        <w:spacing w:after="0" w:line="1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5"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24</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Notes to be purchased by all Initial Purchasers and arrangements satisfactory to the Initial Purchasers and the Company for purchase of such the Notes are not made within 48 hours after such default, this Agreement will terminate without liability on the part of any non-defaulting Initial Purchaser and the Company. In any such case which does not result in termination of this Agreement, either you or the Company shall have the right to postpone the Closing Date, or such Option Closing Date, as the case may be, but in no event for longer than seven days, in order that the required changes, if any, in the Offering Memorandum or any other documents or arrangements may be effected. Any action taken under this paragraph shall not relieve any defaulting Initial Purchaser from liability in respect of any default of any such Initial Purchaser under this Agreement.</w:t>
      </w:r>
    </w:p>
    <w:p>
      <w:pPr>
        <w:spacing w:after="0" w:line="182" w:lineRule="exact"/>
        <w:rPr>
          <w:sz w:val="20"/>
          <w:szCs w:val="20"/>
          <w:color w:val="auto"/>
        </w:rPr>
      </w:pPr>
    </w:p>
    <w:p>
      <w:pPr>
        <w:ind w:right="2839" w:firstLine="825"/>
        <w:spacing w:after="0" w:line="251" w:lineRule="auto"/>
        <w:tabs>
          <w:tab w:leader="none" w:pos="166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Notices given pursuant to any provision of this Agreement shall be addressed as follows: (i) if to the Company to 500 Technology Square, Cambridge, MA 02139, Attention: General Counsel and (ii) if to the Initial Purchasers, Donaldson, Lufkin &amp; Jenrette Securities Corporation, 277 Park Avenue, New York, New York 10172, Attention: Syndicate Department, or in any case to such other address as the person to be notified may have requested in writing.</w:t>
      </w:r>
    </w:p>
    <w:p>
      <w:pPr>
        <w:spacing w:after="0" w:line="353" w:lineRule="exact"/>
        <w:rPr>
          <w:sz w:val="20"/>
          <w:szCs w:val="20"/>
          <w:color w:val="auto"/>
        </w:rPr>
      </w:pPr>
    </w:p>
    <w:p>
      <w:pPr>
        <w:ind w:right="2839" w:firstLine="1661"/>
        <w:spacing w:after="0" w:line="250" w:lineRule="auto"/>
        <w:rPr>
          <w:sz w:val="20"/>
          <w:szCs w:val="20"/>
          <w:color w:val="auto"/>
        </w:rPr>
      </w:pPr>
      <w:r>
        <w:rPr>
          <w:rFonts w:ascii="Courier New" w:cs="Courier New" w:eastAsia="Courier New" w:hAnsi="Courier New"/>
          <w:sz w:val="15"/>
          <w:szCs w:val="15"/>
          <w:color w:val="auto"/>
        </w:rPr>
        <w:t>The respective indemnities, contribution agreements, representations, warranties and other statements of the Company and the Initial Purchasers set forth in or made pursuant to this Agreement shall remain operative and in full force and effect, and will survive delivery of and payment for the Securities regardless of (i) any investigation, or statement as to the results thereof, made by or on behalf of the Initial Purchasers; the officers or directors of the Initial Purchasers, any person controlling the Initial Purchasers, the Company, the officers or directors of the Company, or any person controlling the Company, (ii) acceptance of the Securities and payment for them hereunder and (iii) termination of the Agreement.</w:t>
      </w:r>
    </w:p>
    <w:p>
      <w:pPr>
        <w:spacing w:after="0" w:line="182" w:lineRule="exact"/>
        <w:rPr>
          <w:sz w:val="20"/>
          <w:szCs w:val="20"/>
          <w:color w:val="auto"/>
        </w:rPr>
      </w:pPr>
    </w:p>
    <w:p>
      <w:pPr>
        <w:ind w:right="2839" w:firstLine="1661"/>
        <w:spacing w:after="0" w:line="250" w:lineRule="auto"/>
        <w:rPr>
          <w:sz w:val="20"/>
          <w:szCs w:val="20"/>
          <w:color w:val="auto"/>
        </w:rPr>
      </w:pPr>
      <w:r>
        <w:rPr>
          <w:rFonts w:ascii="Courier New" w:cs="Courier New" w:eastAsia="Courier New" w:hAnsi="Courier New"/>
          <w:sz w:val="15"/>
          <w:szCs w:val="15"/>
          <w:color w:val="auto"/>
        </w:rPr>
        <w:t>If for any reason the Notes are not delivered by or on behalf of the Company as provided herein (other than as a result of any termination of this Agreement pursuant to Section 10), the Company agrees to reimburse the Initial Purchasers for all out-of-pocket expenses (including the fees and disbursements of counsel) incurred by them Notwithstanding any termination of this Agreement, the Company shall be liable for all expenses which it has agreed to pay pursuant to Section 5(i) hereof. The Company also agrees to reimburse the Initial Purchasers and its officers, directors and each person, if any, who controls such Initial Purchasers within the meaning of Section 15 of the Act or Section 20 of the Exchange Act for any and all fees and expenses (including without limitation the fees and expenses of counsel) incurred by them in connection with enforcing their rights under this Agreement (including without limitation its rights under Section 8).</w:t>
      </w:r>
    </w:p>
    <w:p>
      <w:pPr>
        <w:spacing w:after="0" w:line="183" w:lineRule="exact"/>
        <w:rPr>
          <w:sz w:val="20"/>
          <w:szCs w:val="20"/>
          <w:color w:val="auto"/>
        </w:rPr>
      </w:pPr>
    </w:p>
    <w:p>
      <w:pPr>
        <w:ind w:right="2939" w:firstLine="1661"/>
        <w:spacing w:after="0" w:line="251" w:lineRule="auto"/>
        <w:rPr>
          <w:sz w:val="20"/>
          <w:szCs w:val="20"/>
          <w:color w:val="auto"/>
        </w:rPr>
      </w:pPr>
      <w:r>
        <w:rPr>
          <w:rFonts w:ascii="Courier New" w:cs="Courier New" w:eastAsia="Courier New" w:hAnsi="Courier New"/>
          <w:sz w:val="15"/>
          <w:szCs w:val="15"/>
          <w:color w:val="auto"/>
        </w:rPr>
        <w:t>Except as otherwise provided, this Agreement has been and is made solely for the benefit of and shall be binding upon the Company, the Initial Purchasers, the Initial Purchasers' directors and officers, any controlling persons referred to herein, the officers and directors of the Company and their respective successors and assigns, all as and to the extent provided in this Agreement, and no other person shall acquire or have any right under or by virtue of this Agreement. The term "successors and assigns" shall not include a purchaser of any of the Securities from the Initial Purchasers merely because of such purchase.</w:t>
      </w:r>
    </w:p>
    <w:p>
      <w:pPr>
        <w:spacing w:after="0" w:line="175" w:lineRule="exact"/>
        <w:rPr>
          <w:sz w:val="20"/>
          <w:szCs w:val="20"/>
          <w:color w:val="auto"/>
        </w:rPr>
      </w:pPr>
    </w:p>
    <w:p>
      <w:pPr>
        <w:ind w:right="3019" w:firstLine="1661"/>
        <w:spacing w:after="0" w:line="253" w:lineRule="auto"/>
        <w:rPr>
          <w:sz w:val="20"/>
          <w:szCs w:val="20"/>
          <w:color w:val="auto"/>
        </w:rPr>
      </w:pPr>
      <w:r>
        <w:rPr>
          <w:rFonts w:ascii="Courier New" w:cs="Courier New" w:eastAsia="Courier New" w:hAnsi="Courier New"/>
          <w:sz w:val="15"/>
          <w:szCs w:val="15"/>
          <w:color w:val="auto"/>
        </w:rPr>
        <w:t>This Agreement shall be governed and construed in accordance with the laws of the State of New York.</w:t>
      </w:r>
    </w:p>
    <w:p>
      <w:pPr>
        <w:spacing w:after="0" w:line="174" w:lineRule="exact"/>
        <w:rPr>
          <w:sz w:val="20"/>
          <w:szCs w:val="20"/>
          <w:color w:val="auto"/>
        </w:rPr>
      </w:pPr>
    </w:p>
    <w:p>
      <w:pPr>
        <w:ind w:right="3219" w:firstLine="1661"/>
        <w:spacing w:after="0" w:line="253" w:lineRule="auto"/>
        <w:rPr>
          <w:sz w:val="20"/>
          <w:szCs w:val="20"/>
          <w:color w:val="auto"/>
        </w:rPr>
      </w:pPr>
      <w:r>
        <w:rPr>
          <w:rFonts w:ascii="Courier New" w:cs="Courier New" w:eastAsia="Courier New" w:hAnsi="Courier New"/>
          <w:sz w:val="15"/>
          <w:szCs w:val="15"/>
          <w:color w:val="auto"/>
        </w:rPr>
        <w:t>This Agreement may be signed in various counterparts which together shall constitute one and the same instrument.</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5"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25</w:t>
      </w:r>
    </w:p>
    <w:p>
      <w:pPr>
        <w:spacing w:after="0" w:line="8" w:lineRule="exact"/>
        <w:rPr>
          <w:sz w:val="20"/>
          <w:szCs w:val="20"/>
          <w:color w:val="auto"/>
        </w:rPr>
      </w:pPr>
    </w:p>
    <w:p>
      <w:pPr>
        <w:ind w:right="3219" w:firstLine="1661"/>
        <w:spacing w:after="0" w:line="253" w:lineRule="auto"/>
        <w:rPr>
          <w:sz w:val="20"/>
          <w:szCs w:val="20"/>
          <w:color w:val="auto"/>
        </w:rPr>
      </w:pPr>
      <w:r>
        <w:rPr>
          <w:rFonts w:ascii="Courier New" w:cs="Courier New" w:eastAsia="Courier New" w:hAnsi="Courier New"/>
          <w:sz w:val="15"/>
          <w:szCs w:val="15"/>
          <w:color w:val="auto"/>
        </w:rPr>
        <w:t>Please confirm that the foregoing correctly sets forth the agreement among the Company, and the Initial Purchasers.</w:t>
      </w:r>
    </w:p>
    <w:p>
      <w:pPr>
        <w:spacing w:after="0" w:line="174"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Very truly yours,</w:t>
      </w:r>
    </w:p>
    <w:p>
      <w:pPr>
        <w:spacing w:after="0" w:line="185"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AKAMAI TECHNOLOGIES, INC.</w:t>
      </w:r>
    </w:p>
    <w:p>
      <w:pPr>
        <w:spacing w:after="0" w:line="362"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95"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26</w:t>
      </w:r>
    </w:p>
    <w:p>
      <w:pPr>
        <w:spacing w:after="0" w:line="8" w:lineRule="exact"/>
        <w:rPr>
          <w:sz w:val="20"/>
          <w:szCs w:val="20"/>
          <w:color w:val="auto"/>
        </w:rPr>
      </w:pPr>
    </w:p>
    <w:p>
      <w:pPr>
        <w:jc w:val="right"/>
        <w:ind w:right="7639"/>
        <w:spacing w:after="0"/>
        <w:rPr>
          <w:sz w:val="20"/>
          <w:szCs w:val="20"/>
          <w:color w:val="auto"/>
        </w:rPr>
      </w:pPr>
      <w:r>
        <w:rPr>
          <w:rFonts w:ascii="Courier New" w:cs="Courier New" w:eastAsia="Courier New" w:hAnsi="Courier New"/>
          <w:sz w:val="15"/>
          <w:szCs w:val="15"/>
          <w:color w:val="auto"/>
        </w:rPr>
        <w:t>DONALDSON, LUFKIN &amp; JENRETTE</w:t>
      </w:r>
    </w:p>
    <w:p>
      <w:pPr>
        <w:spacing w:after="0" w:line="8" w:lineRule="exact"/>
        <w:rPr>
          <w:sz w:val="20"/>
          <w:szCs w:val="20"/>
          <w:color w:val="auto"/>
        </w:rPr>
      </w:pPr>
    </w:p>
    <w:p>
      <w:pPr>
        <w:jc w:val="right"/>
        <w:ind w:right="7639"/>
        <w:spacing w:after="0"/>
        <w:rPr>
          <w:sz w:val="20"/>
          <w:szCs w:val="20"/>
          <w:color w:val="auto"/>
        </w:rPr>
      </w:pPr>
      <w:r>
        <w:rPr>
          <w:rFonts w:ascii="Courier New" w:cs="Courier New" w:eastAsia="Courier New" w:hAnsi="Courier New"/>
          <w:sz w:val="15"/>
          <w:szCs w:val="15"/>
          <w:color w:val="auto"/>
        </w:rPr>
        <w:t>SECURITIES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SALOMON SMITH BARNEY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WEISEL PARTNERS LLC</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ind w:right="6819"/>
        <w:spacing w:after="0"/>
        <w:rPr>
          <w:sz w:val="20"/>
          <w:szCs w:val="20"/>
          <w:color w:val="auto"/>
        </w:rPr>
      </w:pPr>
      <w:r>
        <w:rPr>
          <w:rFonts w:ascii="Courier New" w:cs="Courier New" w:eastAsia="Courier New" w:hAnsi="Courier New"/>
          <w:sz w:val="15"/>
          <w:szCs w:val="15"/>
          <w:color w:val="auto"/>
        </w:rPr>
        <w:t>DONALDSON, LUFKIN &amp; JENRETTE</w:t>
      </w:r>
    </w:p>
    <w:p>
      <w:pPr>
        <w:spacing w:after="0" w:line="8" w:lineRule="exact"/>
        <w:rPr>
          <w:sz w:val="20"/>
          <w:szCs w:val="20"/>
          <w:color w:val="auto"/>
        </w:rPr>
      </w:pPr>
    </w:p>
    <w:p>
      <w:pPr>
        <w:jc w:val="right"/>
        <w:ind w:right="6819"/>
        <w:spacing w:after="0"/>
        <w:rPr>
          <w:sz w:val="20"/>
          <w:szCs w:val="20"/>
          <w:color w:val="auto"/>
        </w:rPr>
      </w:pPr>
      <w:r>
        <w:rPr>
          <w:rFonts w:ascii="Courier New" w:cs="Courier New" w:eastAsia="Courier New" w:hAnsi="Courier New"/>
          <w:sz w:val="15"/>
          <w:szCs w:val="15"/>
          <w:color w:val="auto"/>
        </w:rPr>
        <w:t>SECURITIES CORPORATION</w:t>
      </w:r>
    </w:p>
    <w:p>
      <w:pPr>
        <w:spacing w:after="0" w:line="200" w:lineRule="exact"/>
        <w:rPr>
          <w:sz w:val="20"/>
          <w:szCs w:val="20"/>
          <w:color w:val="auto"/>
        </w:rPr>
      </w:pPr>
    </w:p>
    <w:p>
      <w:pPr>
        <w:sectPr>
          <w:pgSz w:w="11900" w:h="16838" w:orient="portrait"/>
          <w:cols w:equalWidth="0" w:num="2">
            <w:col w:w="280" w:space="540"/>
            <w:col w:w="9399"/>
          </w:cols>
          <w:pgMar w:left="240" w:top="295" w:right="1440" w:bottom="1440" w:gutter="0" w:footer="0" w:header="0"/>
          <w:type w:val="continuous"/>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95"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200" w:lineRule="exact"/>
        <w:rPr>
          <w:sz w:val="20"/>
          <w:szCs w:val="20"/>
          <w:color w:val="auto"/>
        </w:rPr>
      </w:pPr>
    </w:p>
    <w:p>
      <w:pPr>
        <w:sectPr>
          <w:pgSz w:w="11900" w:h="16838" w:orient="portrait"/>
          <w:cols w:equalWidth="0" w:num="2">
            <w:col w:w="280" w:space="540"/>
            <w:col w:w="9399"/>
          </w:cols>
          <w:pgMar w:left="240" w:top="295"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95"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behalf of the Initial Purchasers</w:t>
      </w:r>
    </w:p>
    <w:p>
      <w:pPr>
        <w:sectPr>
          <w:pgSz w:w="11900" w:h="16838" w:orient="portrait"/>
          <w:cols w:equalWidth="0" w:num="1">
            <w:col w:w="10219"/>
          </w:cols>
          <w:pgMar w:left="240" w:top="295"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27</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80" w:type="dxa"/>
            <w:vAlign w:val="bottom"/>
          </w:tcPr>
          <w:p>
            <w:pPr>
              <w:spacing w:after="0"/>
              <w:rPr>
                <w:sz w:val="14"/>
                <w:szCs w:val="14"/>
                <w:color w:val="auto"/>
              </w:rPr>
            </w:pPr>
          </w:p>
        </w:tc>
        <w:tc>
          <w:tcPr>
            <w:tcW w:w="166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Principal Amount</w:t>
            </w:r>
          </w:p>
        </w:tc>
      </w:tr>
      <w:tr>
        <w:trPr>
          <w:trHeight w:val="177"/>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Initial Purchaser</w:t>
            </w:r>
          </w:p>
        </w:tc>
        <w:tc>
          <w:tcPr>
            <w:tcW w:w="16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of Notes</w:t>
            </w:r>
          </w:p>
        </w:tc>
      </w:tr>
      <w:tr>
        <w:trPr>
          <w:trHeight w:val="355"/>
        </w:trPr>
        <w:tc>
          <w:tcPr>
            <w:tcW w:w="4880" w:type="dxa"/>
            <w:vAlign w:val="bottom"/>
          </w:tcPr>
          <w:p>
            <w:pPr>
              <w:spacing w:after="0"/>
              <w:rPr>
                <w:sz w:val="20"/>
                <w:szCs w:val="20"/>
                <w:color w:val="auto"/>
              </w:rPr>
            </w:pPr>
            <w:r>
              <w:rPr>
                <w:rFonts w:ascii="Courier New" w:cs="Courier New" w:eastAsia="Courier New" w:hAnsi="Courier New"/>
                <w:sz w:val="15"/>
                <w:szCs w:val="15"/>
                <w:color w:val="auto"/>
              </w:rPr>
              <w:t>Donaldson, Lufkin &amp; Jenrette Securities Corporation</w:t>
            </w:r>
          </w:p>
        </w:tc>
        <w:tc>
          <w:tcPr>
            <w:tcW w:w="16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$100,000,000</w:t>
            </w:r>
          </w:p>
        </w:tc>
      </w:tr>
      <w:tr>
        <w:trPr>
          <w:trHeight w:val="355"/>
        </w:trPr>
        <w:tc>
          <w:tcPr>
            <w:tcW w:w="4880" w:type="dxa"/>
            <w:vAlign w:val="bottom"/>
          </w:tcPr>
          <w:p>
            <w:pPr>
              <w:spacing w:after="0"/>
              <w:rPr>
                <w:sz w:val="20"/>
                <w:szCs w:val="20"/>
                <w:color w:val="auto"/>
              </w:rPr>
            </w:pPr>
            <w:r>
              <w:rPr>
                <w:rFonts w:ascii="Courier New" w:cs="Courier New" w:eastAsia="Courier New" w:hAnsi="Courier New"/>
                <w:sz w:val="15"/>
                <w:szCs w:val="15"/>
                <w:color w:val="auto"/>
              </w:rPr>
              <w:t>Morgan Stanley &amp; Co. Incorporated</w:t>
            </w:r>
          </w:p>
        </w:tc>
        <w:tc>
          <w:tcPr>
            <w:tcW w:w="16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$100,000,000</w:t>
            </w:r>
          </w:p>
        </w:tc>
      </w:tr>
      <w:tr>
        <w:trPr>
          <w:trHeight w:val="355"/>
        </w:trPr>
        <w:tc>
          <w:tcPr>
            <w:tcW w:w="4880" w:type="dxa"/>
            <w:vAlign w:val="bottom"/>
          </w:tcPr>
          <w:p>
            <w:pPr>
              <w:spacing w:after="0"/>
              <w:rPr>
                <w:sz w:val="20"/>
                <w:szCs w:val="20"/>
                <w:color w:val="auto"/>
              </w:rPr>
            </w:pPr>
            <w:r>
              <w:rPr>
                <w:rFonts w:ascii="Courier New" w:cs="Courier New" w:eastAsia="Courier New" w:hAnsi="Courier New"/>
                <w:sz w:val="15"/>
                <w:szCs w:val="15"/>
                <w:color w:val="auto"/>
              </w:rPr>
              <w:t>Salomon Smith Barney</w:t>
            </w:r>
          </w:p>
        </w:tc>
        <w:tc>
          <w:tcPr>
            <w:tcW w:w="16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$ 25,000,000</w:t>
            </w:r>
          </w:p>
        </w:tc>
      </w:tr>
      <w:tr>
        <w:trPr>
          <w:trHeight w:val="177"/>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660" w:type="dxa"/>
            <w:vAlign w:val="bottom"/>
          </w:tcPr>
          <w:p>
            <w:pPr>
              <w:spacing w:after="0"/>
              <w:rPr>
                <w:sz w:val="15"/>
                <w:szCs w:val="15"/>
                <w:color w:val="auto"/>
              </w:rPr>
            </w:pPr>
          </w:p>
        </w:tc>
      </w:tr>
      <w:tr>
        <w:trPr>
          <w:trHeight w:val="355"/>
        </w:trPr>
        <w:tc>
          <w:tcPr>
            <w:tcW w:w="4880" w:type="dxa"/>
            <w:vAlign w:val="bottom"/>
          </w:tcPr>
          <w:p>
            <w:pPr>
              <w:spacing w:after="0"/>
              <w:rPr>
                <w:sz w:val="20"/>
                <w:szCs w:val="20"/>
                <w:color w:val="auto"/>
              </w:rPr>
            </w:pPr>
            <w:r>
              <w:rPr>
                <w:rFonts w:ascii="Courier New" w:cs="Courier New" w:eastAsia="Courier New" w:hAnsi="Courier New"/>
                <w:sz w:val="15"/>
                <w:szCs w:val="15"/>
                <w:color w:val="auto"/>
              </w:rPr>
              <w:t>Thomas Weisel Partners LLC</w:t>
            </w:r>
          </w:p>
        </w:tc>
        <w:tc>
          <w:tcPr>
            <w:tcW w:w="16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$ 25,000,000</w:t>
            </w:r>
          </w:p>
        </w:tc>
      </w:tr>
      <w:tr>
        <w:trPr>
          <w:trHeight w:val="355"/>
        </w:trPr>
        <w:tc>
          <w:tcPr>
            <w:tcW w:w="4880" w:type="dxa"/>
            <w:vAlign w:val="bottom"/>
          </w:tcPr>
          <w:p>
            <w:pPr>
              <w:spacing w:after="0"/>
              <w:rPr>
                <w:sz w:val="24"/>
                <w:szCs w:val="24"/>
                <w:color w:val="auto"/>
              </w:rPr>
            </w:pPr>
          </w:p>
        </w:tc>
        <w:tc>
          <w:tcPr>
            <w:tcW w:w="16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80" w:type="dxa"/>
            <w:vAlign w:val="bottom"/>
          </w:tcPr>
          <w:p>
            <w:pPr>
              <w:ind w:left="920"/>
              <w:spacing w:after="0"/>
              <w:rPr>
                <w:sz w:val="20"/>
                <w:szCs w:val="20"/>
                <w:color w:val="auto"/>
              </w:rPr>
            </w:pPr>
            <w:r>
              <w:rPr>
                <w:rFonts w:ascii="Courier New" w:cs="Courier New" w:eastAsia="Courier New" w:hAnsi="Courier New"/>
                <w:sz w:val="15"/>
                <w:szCs w:val="15"/>
                <w:color w:val="auto"/>
              </w:rPr>
              <w:t>Total</w:t>
            </w:r>
          </w:p>
        </w:tc>
        <w:tc>
          <w:tcPr>
            <w:tcW w:w="16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$250,000,000</w:t>
            </w:r>
          </w:p>
        </w:tc>
      </w:tr>
      <w:tr>
        <w:trPr>
          <w:trHeight w:val="532"/>
        </w:trPr>
        <w:tc>
          <w:tcPr>
            <w:tcW w:w="4880" w:type="dxa"/>
            <w:vAlign w:val="bottom"/>
          </w:tcPr>
          <w:p>
            <w:pPr>
              <w:ind w:left="3600"/>
              <w:spacing w:after="0"/>
              <w:rPr>
                <w:sz w:val="20"/>
                <w:szCs w:val="20"/>
                <w:color w:val="auto"/>
              </w:rPr>
            </w:pPr>
            <w:r>
              <w:rPr>
                <w:rFonts w:ascii="Courier New" w:cs="Courier New" w:eastAsia="Courier New" w:hAnsi="Courier New"/>
                <w:sz w:val="15"/>
                <w:szCs w:val="15"/>
                <w:color w:val="auto"/>
              </w:rPr>
              <w:t>1</w:t>
            </w:r>
          </w:p>
        </w:tc>
        <w:tc>
          <w:tcPr>
            <w:tcW w:w="166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28</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SCHEDULE B</w:t>
      </w:r>
    </w:p>
    <w:p>
      <w:pPr>
        <w:spacing w:after="0" w:line="185" w:lineRule="exact"/>
        <w:rPr>
          <w:sz w:val="20"/>
          <w:szCs w:val="20"/>
          <w:color w:val="auto"/>
        </w:rPr>
      </w:pPr>
    </w:p>
    <w:p>
      <w:pPr>
        <w:jc w:val="right"/>
        <w:ind w:right="4599"/>
        <w:spacing w:after="0"/>
        <w:rPr>
          <w:sz w:val="20"/>
          <w:szCs w:val="20"/>
          <w:color w:val="auto"/>
        </w:rPr>
      </w:pPr>
      <w:r>
        <w:rPr>
          <w:rFonts w:ascii="Courier New" w:cs="Courier New" w:eastAsia="Courier New" w:hAnsi="Courier New"/>
          <w:sz w:val="15"/>
          <w:szCs w:val="15"/>
          <w:color w:val="auto"/>
        </w:rPr>
        <w:t>SUBSIDIARIES OF AKAMAI TECHNOLOGIES, INC.</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INTERVU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 24 Communications,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Akamai Securities Corporation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 Associates,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Netpodium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Videolinx Communications, Inc.</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5"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29</w:t>
      </w:r>
    </w:p>
    <w:p>
      <w:pPr>
        <w:spacing w:after="0" w:line="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EXHIBIT A</w:t>
      </w:r>
    </w:p>
    <w:p>
      <w:pPr>
        <w:spacing w:after="0" w:line="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 OF REGISTRATION RIGHTS AGREEMENT</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9939"/>
          </w:cols>
          <w:pgMar w:left="520" w:top="295" w:right="1440" w:bottom="1440" w:gutter="0" w:footer="0" w:header="0"/>
        </w:sectPr>
      </w:pPr>
    </w:p>
    <w:bookmarkStart w:id="36" w:name="page37"/>
    <w:bookmarkEnd w:id="36"/>
    <w:p>
      <w:pPr>
        <w:ind w:left="285"/>
        <w:spacing w:after="0"/>
        <w:rPr>
          <w:sz w:val="20"/>
          <w:szCs w:val="20"/>
          <w:color w:val="auto"/>
        </w:rPr>
      </w:pPr>
      <w:r>
        <w:rPr>
          <w:rFonts w:ascii="Courier New" w:cs="Courier New" w:eastAsia="Courier New" w:hAnsi="Courier New"/>
          <w:sz w:val="15"/>
          <w:szCs w:val="15"/>
          <w:color w:val="auto"/>
        </w:rPr>
        <w:t>30</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B</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MANAGEMENT/DIRECTOR FORM</w:t>
      </w:r>
    </w:p>
    <w:p>
      <w:pPr>
        <w:spacing w:after="0" w:line="200" w:lineRule="exact"/>
        <w:rPr>
          <w:sz w:val="20"/>
          <w:szCs w:val="20"/>
          <w:color w:val="auto"/>
        </w:rPr>
      </w:pPr>
    </w:p>
    <w:p>
      <w:pPr>
        <w:spacing w:after="0" w:line="340"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June ___, 2000</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Donaldson, Lufkin &amp; Jenrette Securities Corporation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Salomon Smith Barney Inc.</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Thomas Weisel Partners LLC</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Dear Sirs and Mesdames:</w:t>
      </w:r>
    </w:p>
    <w:p>
      <w:pPr>
        <w:spacing w:after="0" w:line="18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The undersigned understands that each of Donaldson, Lufkin &amp; Jenrette Securities Corporation, Morgan Stanley &amp; Co. Incorporated, Salomon Smith Barney Inc. and Thomas Weisel Partners LLC (each a "PURCHASER") proposes to enter into a Purchase Agreement (the "PURCHASE AGREEMENT") with Akamai Technologies, Inc., a Delaware corporation (the "COMPANY") providing for the offering (the "OFFERING") of $250,000,000 in principal amount of Convertible Notes Due 2007 of the Company (the "NOTES").</w:t>
      </w:r>
    </w:p>
    <w:p>
      <w:pPr>
        <w:spacing w:after="0" w:line="200" w:lineRule="exact"/>
        <w:rPr>
          <w:sz w:val="20"/>
          <w:szCs w:val="20"/>
          <w:color w:val="auto"/>
        </w:rPr>
      </w:pPr>
    </w:p>
    <w:p>
      <w:pPr>
        <w:spacing w:after="0" w:line="330"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To induce the Purchasers that may participate in the Offering to continue their efforts in connection with the Offering, the undersigned hereby agrees that, without the prior written consent and waiver of Donaldson, Lufkin &amp; Jenrette Securities Corporation and Morgan Stanley &amp; Co. Incorporated, acting on behalf of the Underwriters, the undersigned will not, during the period commencing on the date hereof and ending 90 days after the date of the pricing of the Notes, (1) offer, pledge, sell, contract to sell, sell any option or contract to purchase, purchase any option or contract to sell, grant any option, right or warrant to purchase, lend, or otherwise transfer or dispose of, directly or indirectly, any shares of common stock, par value $0.01 per share, of the Company (the "COMMON STOCK") or any securities convertible into or exercisable or exchangeable for Common Stock, or (2) enter into any swap or other arrangement that transfers to another, in whole or in part, any of the economic consequences of ownership of Common Stock, whether any such transaction described in clause (1) or (2) above is to be settled by delivery of Common Stock or such other securities, in cash or otherwise. The foregoing sentence shall not apply to transactions relating to shares of Common Stock or other securities acquired by the undersigned in open market transactions or the sale or transfer of shares to the acquiror in connection with the sale of the Company pursuant to a merger, sale of stock, sale of assets or otherwise. In addition, the undersigned agrees that, without the prior written consent of Morgan Stanley</w:t>
      </w:r>
    </w:p>
    <w:p>
      <w:pPr>
        <w:spacing w:after="0" w:line="9" w:lineRule="exact"/>
        <w:rPr>
          <w:sz w:val="20"/>
          <w:szCs w:val="20"/>
          <w:color w:val="auto"/>
        </w:rPr>
      </w:pPr>
    </w:p>
    <w:p>
      <w:pPr>
        <w:ind w:left="5" w:right="2939" w:hanging="5"/>
        <w:spacing w:after="0" w:line="251" w:lineRule="auto"/>
        <w:tabs>
          <w:tab w:leader="none" w:pos="1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Incorporated and Donaldson, Lufkin &amp; Jenrette Securities Corporation, it will not, during the period commencing on the date hereof and ending 90 days after the date of the pricing of the Notes, make any demand for or exercise any right with respect to, the registration of any shares of Common Stock or any security convertible into or exercisable or exchangeable for Common Stock. Notwithstanding the above, beginning after the 60th day after the date of the pricing of the Notes, 5% of the shares of Common Stock held by the undersigned shall cease to be subject to the terms of this lock-up.</w:t>
      </w:r>
    </w:p>
    <w:p>
      <w:pPr>
        <w:spacing w:after="0" w:line="200" w:lineRule="exact"/>
        <w:rPr>
          <w:sz w:val="20"/>
          <w:szCs w:val="20"/>
          <w:color w:val="auto"/>
        </w:rPr>
      </w:pPr>
    </w:p>
    <w:p>
      <w:pPr>
        <w:spacing w:after="0" w:line="330" w:lineRule="exact"/>
        <w:rPr>
          <w:sz w:val="20"/>
          <w:szCs w:val="20"/>
          <w:color w:val="auto"/>
        </w:rPr>
      </w:pPr>
    </w:p>
    <w:p>
      <w:pPr>
        <w:ind w:left="5" w:right="2839" w:firstLine="646"/>
        <w:spacing w:after="0" w:line="250" w:lineRule="auto"/>
        <w:rPr>
          <w:sz w:val="20"/>
          <w:szCs w:val="20"/>
          <w:color w:val="auto"/>
        </w:rPr>
      </w:pPr>
      <w:r>
        <w:rPr>
          <w:rFonts w:ascii="Courier New" w:cs="Courier New" w:eastAsia="Courier New" w:hAnsi="Courier New"/>
          <w:sz w:val="15"/>
          <w:szCs w:val="15"/>
          <w:color w:val="auto"/>
        </w:rPr>
        <w:t>Notwithstanding the foregoing: (i) gifts and transfers by will or intestacy; or (ii) transfers to (A) the undersigned's members, partners, stockholders, affiliates or immediate family, (B) a trust, the beneficiaries of which are the undersigned and/or members of the undersigned's immediate family, or (C) a trust or other entity for charitable and/or estate or financial planning purposes, shall not be prohibited by this agreement; provided, that (x) the donee or transferee agrees in writing to be bound by the foregoing in the same manner as it applies to the undersigned, and (y) if the donor or transferor is a reporting person subject to Section 16(a) of the Securities Exchange Act of 1934 (the "Exchange Act"), any gifts or transfers made in accordance with this paragraph shall not require such person to, and such person shall not voluntarily, file a report of such transaction on Form 4 under the</w:t>
      </w:r>
    </w:p>
    <w:p>
      <w:pPr>
        <w:spacing w:after="0" w:line="183"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25"/>
          </w:cols>
          <w:pgMar w:left="235" w:top="295" w:right="1440" w:bottom="1440" w:gutter="0" w:footer="0" w:header="0"/>
        </w:sectPr>
      </w:pPr>
    </w:p>
    <w:bookmarkStart w:id="37" w:name="page38"/>
    <w:bookmarkEnd w:id="37"/>
    <w:p>
      <w:pPr>
        <w:ind w:left="285"/>
        <w:spacing w:after="0"/>
        <w:rPr>
          <w:sz w:val="20"/>
          <w:szCs w:val="20"/>
          <w:color w:val="auto"/>
        </w:rPr>
      </w:pPr>
      <w:r>
        <w:rPr>
          <w:rFonts w:ascii="Courier New" w:cs="Courier New" w:eastAsia="Courier New" w:hAnsi="Courier New"/>
          <w:sz w:val="15"/>
          <w:szCs w:val="15"/>
          <w:color w:val="auto"/>
        </w:rPr>
        <w:t>31</w:t>
      </w:r>
    </w:p>
    <w:p>
      <w:pPr>
        <w:spacing w:after="0" w:line="8" w:lineRule="exact"/>
        <w:rPr>
          <w:sz w:val="20"/>
          <w:szCs w:val="20"/>
          <w:color w:val="auto"/>
        </w:rPr>
      </w:pPr>
    </w:p>
    <w:p>
      <w:pPr>
        <w:ind w:left="5" w:right="2939"/>
        <w:spacing w:after="0" w:line="252" w:lineRule="auto"/>
        <w:rPr>
          <w:sz w:val="20"/>
          <w:szCs w:val="20"/>
          <w:color w:val="auto"/>
        </w:rPr>
      </w:pPr>
      <w:r>
        <w:rPr>
          <w:rFonts w:ascii="Courier New" w:cs="Courier New" w:eastAsia="Courier New" w:hAnsi="Courier New"/>
          <w:sz w:val="15"/>
          <w:szCs w:val="15"/>
          <w:color w:val="auto"/>
        </w:rPr>
        <w:t>Exchange Act. For purposes hereof, "immediate family" shall mean spouse, lineal descendants, father, mother, brother or sister of the transferor and father, mother, brother or sister of the transferor's spouse.</w:t>
      </w:r>
    </w:p>
    <w:p>
      <w:pPr>
        <w:spacing w:after="0" w:line="352" w:lineRule="exact"/>
        <w:rPr>
          <w:sz w:val="20"/>
          <w:szCs w:val="20"/>
          <w:color w:val="auto"/>
        </w:rPr>
      </w:pPr>
    </w:p>
    <w:p>
      <w:pPr>
        <w:ind w:left="5" w:right="2839" w:firstLine="646"/>
        <w:spacing w:after="0" w:line="250" w:lineRule="auto"/>
        <w:rPr>
          <w:sz w:val="20"/>
          <w:szCs w:val="20"/>
          <w:color w:val="auto"/>
        </w:rPr>
      </w:pPr>
      <w:r>
        <w:rPr>
          <w:rFonts w:ascii="Courier New" w:cs="Courier New" w:eastAsia="Courier New" w:hAnsi="Courier New"/>
          <w:sz w:val="15"/>
          <w:szCs w:val="15"/>
          <w:color w:val="auto"/>
        </w:rPr>
        <w:t>Donaldson, Lufkin &amp; Jenrette Securities Corporation and Morgan Stanley &amp; Co. Incorporated, acting on behalf of the Underwriters, may in their sole discretion waive or amend any restriction contained in any lock-up agreement with a shareholder of the Company; provided, that, if any shareholder listed on Exhibit A hereto (the "Permitted Seller") sells in excess of an aggregate of 5,000 shares of Common Stock pursuant to any such waiver or amendment, the undersigned shall be permitted to sell that percentage of his, her or its total number of shares of Common Stock that equals the percentage obtained by dividing</w:t>
      </w:r>
    </w:p>
    <w:p>
      <w:pPr>
        <w:spacing w:after="0" w:line="4" w:lineRule="exact"/>
        <w:rPr>
          <w:sz w:val="20"/>
          <w:szCs w:val="20"/>
          <w:color w:val="auto"/>
        </w:rPr>
      </w:pPr>
    </w:p>
    <w:p>
      <w:pPr>
        <w:ind w:left="5" w:right="2839" w:hanging="5"/>
        <w:spacing w:after="0" w:line="251" w:lineRule="auto"/>
        <w:tabs>
          <w:tab w:leader="none" w:pos="37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in excess of 5,000 that are sold by the Permitted Seller pursuant to such waiver or amendment, by (y) the total number of shares of Common Stock held by the Permitted Seller prior to such sale. The undersigned agrees that the terms of this lock-up supercedes the terms of any and all other lock-ups relating to Common Stock of the Company entered into by the undersigned prior to the date hereof.</w:t>
      </w:r>
    </w:p>
    <w:p>
      <w:pPr>
        <w:spacing w:after="0" w:line="176" w:lineRule="exact"/>
        <w:rPr>
          <w:sz w:val="20"/>
          <w:szCs w:val="20"/>
          <w:color w:val="auto"/>
        </w:rPr>
      </w:pPr>
    </w:p>
    <w:p>
      <w:pPr>
        <w:ind w:left="5" w:right="2839" w:firstLine="646"/>
        <w:spacing w:after="0" w:line="251" w:lineRule="auto"/>
        <w:rPr>
          <w:sz w:val="20"/>
          <w:szCs w:val="20"/>
          <w:color w:val="auto"/>
        </w:rPr>
      </w:pPr>
      <w:r>
        <w:rPr>
          <w:rFonts w:ascii="Courier New" w:cs="Courier New" w:eastAsia="Courier New" w:hAnsi="Courier New"/>
          <w:sz w:val="15"/>
          <w:szCs w:val="15"/>
          <w:color w:val="auto"/>
        </w:rPr>
        <w:t>The undersigned agrees that the terms of this lock-up supercede the terms of any and all other lock-ups relating to Common Stock of the Company entered into by the undersigned prior to the date hereof. This agreement shall automatically terminate if any of the persons listed on Schedule A hereto fail to sign a lock-up substantially in the form hereof prior to the date of the closing of the Offering, if the Purchase Agreement is not entered into by June 23, 2000 or if the Purchasers do not purchase the Notes and the Purchase Agreement is terminated pursuant to its terms.</w:t>
      </w:r>
    </w:p>
    <w:p>
      <w:pPr>
        <w:spacing w:after="0" w:line="200" w:lineRule="exact"/>
        <w:rPr>
          <w:sz w:val="20"/>
          <w:szCs w:val="20"/>
          <w:color w:val="auto"/>
        </w:rPr>
      </w:pPr>
    </w:p>
    <w:p>
      <w:pPr>
        <w:spacing w:after="0" w:line="330"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(Print Name - Individual or Entity)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(Title, if applicable)</w:t>
      </w:r>
    </w:p>
    <w:p>
      <w:pPr>
        <w:spacing w:after="0" w:line="200" w:lineRule="exact"/>
        <w:rPr>
          <w:sz w:val="20"/>
          <w:szCs w:val="20"/>
          <w:color w:val="auto"/>
        </w:rPr>
      </w:pPr>
    </w:p>
    <w:p>
      <w:pPr>
        <w:spacing w:after="0" w:line="340"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(Address)</w:t>
      </w:r>
    </w:p>
    <w:p>
      <w:pPr>
        <w:spacing w:after="0" w:line="36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25"/>
          </w:cols>
          <w:pgMar w:left="235" w:top="295"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32</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H. Conrades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Sagan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Thomson Leighton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Daniel M. Lewin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Timothy Weller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O. Ball III</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Earl P. Galleher III</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P. Heinrich</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Jonathan Seelig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H. Bilger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Avraham T. Freedman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Ross A. Seider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Wendy Ziner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Kathryn Jorden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Todd A. Dagres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Terrance G. McGuire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Edward W. Scott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Battery Ventures IV, 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Battery Investment Partners IV, LLC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Baker Communications Fund, 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Polaris Venture Management Co. II., L.L.C.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Polaris Venture Partners II 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Polaris Venture Partners Founders' Fund II 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ADASE Partners L.P.</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295"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33</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C-1</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TRUST VERSION</w:t>
      </w:r>
    </w:p>
    <w:p>
      <w:pPr>
        <w:spacing w:after="0" w:line="36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June __, 2000</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Donaldson, Lufkin &amp; Jenrette Securities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Salomon Smith Barney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Weisel Partners LLC</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 and Mesdames: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undersigned understands that each of Donaldson, Lufkin &amp; Jenrette Securities Corporation, Morgan Stanley &amp; Co. Incorporated, Salomon Smith Barney Inc. and Thomas Weisel Partners LLC (each a "PURCHASER") proposes to enter into a Purchase Agreement (the "PURCHASE AGREEMENT") with Akamai Technology, Inc., a Delaware corporation (the "COMPANY") providing for the offering (the "OFFERING") of $250,000,000 in principal amount of Convertible Notes Due 2007 of the Company (the "NOTES").</w:t>
      </w:r>
    </w:p>
    <w:p>
      <w:pPr>
        <w:spacing w:after="0" w:line="200" w:lineRule="exact"/>
        <w:rPr>
          <w:sz w:val="20"/>
          <w:szCs w:val="20"/>
          <w:color w:val="auto"/>
        </w:rPr>
      </w:pPr>
    </w:p>
    <w:p>
      <w:pPr>
        <w:spacing w:after="0" w:line="330"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To induce the Purchasers that may participate in the Offering to continue their efforts in connection with the Offering, the undersigned hereby agrees that, without the prior written consent and waiver of Donaldson, Lufkin &amp; Jenrette Securities Corporation and Morgan Stanley &amp; Co. Incorporated, acting on behalf of the Underwriters, the undersigned will not, during the period commencing on the date of the expiration of the undersigned's existing lock-up with any of the Purchasers and ending 90 days after the date of the pricing of the Notes, (1) offer, pledge, sell, contract to sell, sell any option or contract to purchase, purchase any option or contract to sell, grant any option, right or warrant to purchase, lend, or otherwise transfer or dispose of, directly or indirectly, any shares of common stock, par value $0.01 per share, of the Company (the "COMMON STOCK") or any securities convertible into or exercisable or exchangeable for Common Stock, or (2) enter into any swap or other arrangement that transfers to another, in whole or in part, any of the economic consequences of ownership of Common Stock, whether any such transaction described in clause (1) or (2) above is to be settled by delivery of Common Stock or such other securities, in cash or otherwise. The foregoing sentence shall not apply to (a) transactions relating to shares of Common Stock or other securities acquired by the undersigned in open market transactions, (b) transactions relating to shares of Common Stock that were subject to the partial early release granted to the undersigned by Morgan Stanley &amp; Co. Incorporated effective on March 29, 2000, or (c) the sale or transfer of shares to the acquiror in connection with the sale of the Company pursuant to a merger, sale of stock, sale of assets or otherwise. In addition, the undersigned agrees that, without the prior written consent of Morgan Stanley &amp; Co. Incorporated and Donaldson, Lufkin &amp; Jenrette Securities Corporation, it will not, during the period commencing on the date hereof and ending 90 days after the date of the pricing of the Notes, make any demand for or exercise any right with respect to the registration of any shares of Common Stock or any security convertible into or exercisable or exchangeable for Common Stock. Notwithstanding the above restrictions, beginning after July 25, 2000, 20% of the shares of Common Stock held by the undersigned shall cease to be subject to the terms of this lock-up.</w:t>
      </w:r>
    </w:p>
    <w:p>
      <w:pPr>
        <w:spacing w:after="0" w:line="200" w:lineRule="exact"/>
        <w:rPr>
          <w:sz w:val="20"/>
          <w:szCs w:val="20"/>
          <w:color w:val="auto"/>
        </w:rPr>
      </w:pPr>
    </w:p>
    <w:p>
      <w:pPr>
        <w:spacing w:after="0" w:line="346" w:lineRule="exact"/>
        <w:rPr>
          <w:sz w:val="20"/>
          <w:szCs w:val="20"/>
          <w:color w:val="auto"/>
        </w:rPr>
      </w:pPr>
    </w:p>
    <w:p>
      <w:pPr>
        <w:ind w:right="2839" w:firstLine="646"/>
        <w:spacing w:after="0" w:line="250" w:lineRule="auto"/>
        <w:rPr>
          <w:sz w:val="20"/>
          <w:szCs w:val="20"/>
          <w:color w:val="auto"/>
        </w:rPr>
      </w:pPr>
      <w:r>
        <w:rPr>
          <w:rFonts w:ascii="Courier New" w:cs="Courier New" w:eastAsia="Courier New" w:hAnsi="Courier New"/>
          <w:sz w:val="15"/>
          <w:szCs w:val="15"/>
          <w:color w:val="auto"/>
        </w:rPr>
        <w:t>Notwithstanding the foregoing, transfers to (i) the undersigned's beneficiaries or affiliates, (ii) a trust, the beneficiaries of which are the undersigned, any beneficiary of the undersigned and/or immediate family members of any beneficiaries of the undersigned or (iii) a trust or other entity for charitable and/or estate or financial planning purposes, shall not be prohibited by this agreement; provided, that (x) the donee or transferee agrees in writing to be bound by the foregoing in the same manner as it applies to the undersigned and (y) if the donor or transferor is a reporting person subject to Section 16(a) of the Securities Exchange Act of 1934 (the "Exchange Act"), any gifts or transfers made in accordance with this paragraph shall not require such person to, and such person shall not</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295"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34</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voluntarily, file a report of such transaction on Form 4 under the Exchange Act. For purposes hereof, "immediate family" shall mean spouse, lineal descendants, father, mother, brother or sister of the transferor and father, mother, brother or sister of the transferor's spouse.</w:t>
      </w:r>
    </w:p>
    <w:p>
      <w:pPr>
        <w:spacing w:after="0" w:line="354" w:lineRule="exact"/>
        <w:rPr>
          <w:sz w:val="20"/>
          <w:szCs w:val="20"/>
          <w:color w:val="auto"/>
        </w:rPr>
      </w:pPr>
    </w:p>
    <w:p>
      <w:pPr>
        <w:ind w:right="2839" w:firstLine="646"/>
        <w:spacing w:after="0" w:line="250" w:lineRule="auto"/>
        <w:rPr>
          <w:sz w:val="20"/>
          <w:szCs w:val="20"/>
          <w:color w:val="auto"/>
        </w:rPr>
      </w:pPr>
      <w:r>
        <w:rPr>
          <w:rFonts w:ascii="Courier New" w:cs="Courier New" w:eastAsia="Courier New" w:hAnsi="Courier New"/>
          <w:sz w:val="15"/>
          <w:szCs w:val="15"/>
          <w:color w:val="auto"/>
        </w:rPr>
        <w:t>Donaldson, Lufkin &amp; Jenrette Securities Corporation and Morgan Stanley &amp; Co. Incorporated, acting on behalf of the Underwriters, may in their discretion waive or amend any restriction contained in any lock-up agreement with a shareholder of the Company; provided that if any shareholder listed on Schedule A hereto (the "Permitted Seller") sells, distributes or otherwise transfers in excess of an aggregate of 5,000 shares of Common Stock pursuant to any such waiver or amendment, the undersigned shall be permitted to sell that percentage of his, her or its total number of shares of Common Stock that equals the percentage obtained by dividing (x) the number of shares of Common Stock in excess of 5,000 that are sold by the Permitted Seller pursuant to such waiver or amendment, by (y) the total number of shares of Common Stock held by the Permitted Seller prior to such sale.</w:t>
      </w:r>
    </w:p>
    <w:p>
      <w:pPr>
        <w:spacing w:after="0" w:line="360" w:lineRule="exact"/>
        <w:rPr>
          <w:sz w:val="20"/>
          <w:szCs w:val="20"/>
          <w:color w:val="auto"/>
        </w:rPr>
      </w:pPr>
    </w:p>
    <w:p>
      <w:pPr>
        <w:jc w:val="both"/>
        <w:ind w:right="3299" w:firstLine="646"/>
        <w:spacing w:after="0" w:line="252" w:lineRule="auto"/>
        <w:rPr>
          <w:sz w:val="20"/>
          <w:szCs w:val="20"/>
          <w:color w:val="auto"/>
        </w:rPr>
      </w:pPr>
      <w:r>
        <w:rPr>
          <w:rFonts w:ascii="Courier New" w:cs="Courier New" w:eastAsia="Courier New" w:hAnsi="Courier New"/>
          <w:sz w:val="15"/>
          <w:szCs w:val="15"/>
          <w:color w:val="auto"/>
        </w:rPr>
        <w:t>The undersigned agrees that the terms of this lock-up supercedes the terms of any and all other lock-ups relating to Common Stock of the Company entered into by the undersigned prior to the date hereof.</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295"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35</w:t>
      </w:r>
    </w:p>
    <w:p>
      <w:pPr>
        <w:spacing w:after="0" w:line="8" w:lineRule="exact"/>
        <w:rPr>
          <w:sz w:val="20"/>
          <w:szCs w:val="20"/>
          <w:color w:val="auto"/>
        </w:rPr>
      </w:pPr>
    </w:p>
    <w:p>
      <w:pPr>
        <w:jc w:val="both"/>
        <w:ind w:right="2839" w:firstLine="646"/>
        <w:spacing w:after="0" w:line="252" w:lineRule="auto"/>
        <w:rPr>
          <w:sz w:val="20"/>
          <w:szCs w:val="20"/>
          <w:color w:val="auto"/>
        </w:rPr>
      </w:pPr>
      <w:r>
        <w:rPr>
          <w:rFonts w:ascii="Courier New" w:cs="Courier New" w:eastAsia="Courier New" w:hAnsi="Courier New"/>
          <w:sz w:val="15"/>
          <w:szCs w:val="15"/>
          <w:color w:val="auto"/>
        </w:rPr>
        <w:t>This agreement shall automatically terminate if the Purchase Agreement is not entered into by June 23, 2000 or if the Purchasers do not purchase the Notes and the Purchase Agreement is terminated pursuant to its terms.</w:t>
      </w:r>
    </w:p>
    <w:p>
      <w:pPr>
        <w:spacing w:after="0" w:line="200" w:lineRule="exact"/>
        <w:rPr>
          <w:sz w:val="20"/>
          <w:szCs w:val="20"/>
          <w:color w:val="auto"/>
        </w:rPr>
      </w:pPr>
    </w:p>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(Print Name of Trust)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(Address and Telephone Number)</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295"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36</w:t>
      </w:r>
    </w:p>
    <w:p>
      <w:pPr>
        <w:spacing w:after="0" w:line="8"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5"/>
          <w:szCs w:val="15"/>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ATREL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Mallard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Conrades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AKME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Bilger 1996 Trust</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19"/>
          </w:cols>
          <w:pgMar w:left="240" w:top="295" w:right="1440" w:bottom="1440" w:gutter="0" w:footer="0" w:header="0"/>
        </w:sectPr>
      </w:pPr>
    </w:p>
    <w:bookmarkStart w:id="43" w:name="page44"/>
    <w:bookmarkEnd w:id="43"/>
    <w:p>
      <w:pPr>
        <w:ind w:left="285"/>
        <w:spacing w:after="0"/>
        <w:rPr>
          <w:sz w:val="20"/>
          <w:szCs w:val="20"/>
          <w:color w:val="auto"/>
        </w:rPr>
      </w:pPr>
      <w:r>
        <w:rPr>
          <w:rFonts w:ascii="Courier New" w:cs="Courier New" w:eastAsia="Courier New" w:hAnsi="Courier New"/>
          <w:sz w:val="15"/>
          <w:szCs w:val="15"/>
          <w:color w:val="auto"/>
        </w:rPr>
        <w:t>37</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C-2</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CHARITABLE TRUST VERSION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June __, 2000</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Donaldson, Lufkin &amp; Jenrette Securities Corporation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Salomon Smith Barney Inc.</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Thomas Weisel Partners LLC</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Dear Sirs and Mesdames:</w:t>
      </w:r>
    </w:p>
    <w:p>
      <w:pPr>
        <w:spacing w:after="0" w:line="18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The undersigned understands that each of Donaldson, Lufkin &amp; Jenrette Securities Corporation, Morgan Stanley &amp; Co. Incorporated, Salomon Smith Barney Inc. and Thomas Weisel Partners LLC (each a "PURCHASER") proposes to enter into a Purchase Agreement (the "PURCHASE AGREEMENT") with Akamai Technology, Inc., a Delaware corporation (the "COMPANY") providing for the offering (the "OFFERING") of $250,000,000 in principal amount of Convertible Notes Due 2007 of the Company (the "NOTES").</w:t>
      </w:r>
    </w:p>
    <w:p>
      <w:pPr>
        <w:spacing w:after="0" w:line="200" w:lineRule="exact"/>
        <w:rPr>
          <w:sz w:val="20"/>
          <w:szCs w:val="20"/>
          <w:color w:val="auto"/>
        </w:rPr>
      </w:pPr>
    </w:p>
    <w:p>
      <w:pPr>
        <w:spacing w:after="0" w:line="330"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To induce the Purchasers that may participate in the Offering to continue their efforts in connection with the Offering, the undersigned hereby agrees that, without the prior written consent and waiver of either Donaldson, Lufkin &amp; Jenrette Securities Corporation or Morgan Stanley &amp; Co. Incorporated, acting on behalf of the Underwriters, the undersigned will not, during the period commencing on the date of the expiration of the undersigned's existing lock-up with any of the Purchasers and ending 90 days after the date of the pricing of the Notes, (1) offer, pledge, sell, contract to sell, sell any option or contract to purchase, purchase any option or contract to sell, grant any option, right or warrant to purchase, lend, or otherwise transfer or dispose of, directly or indirectly, any shares of common stock, par value $0.01 per share, of the Company (the "COMMON STOCK") or any securities convertible into or exercisable or exchangeable for Common Stock, or (2) enter into any swap or other arrangement that transfers to another, in whole or in part, any of the economic consequences of ownership of Common Stock, whether any such transaction described in clause (1) or (2) above is to be settled by delivery of Common Stock or such other securities, in cash or otherwise. The foregoing sentence shall not apply to transactions relating to shares of Common Stock or other securities acquired by the undersigned in open market transactions or the sale or transfer of shares to the acquiror in connection with the sale of the Company pursuant to a merger, sale of stock, sale of assets or otherwise. In addition, the undersigned agrees that, without the prior written consent of Morgan Stanley</w:t>
      </w:r>
    </w:p>
    <w:p>
      <w:pPr>
        <w:spacing w:after="0" w:line="10" w:lineRule="exact"/>
        <w:rPr>
          <w:sz w:val="20"/>
          <w:szCs w:val="20"/>
          <w:color w:val="auto"/>
        </w:rPr>
      </w:pPr>
    </w:p>
    <w:p>
      <w:pPr>
        <w:ind w:left="5" w:right="2939" w:hanging="5"/>
        <w:spacing w:after="0" w:line="251" w:lineRule="auto"/>
        <w:tabs>
          <w:tab w:leader="none" w:pos="19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Incorporated and Donaldson, Lufkin &amp; Jenrette Securities Corporation, it will not, during the period commencing on the date hereof and ending 90 days after the date of the pricing of the Notes, make any demand for or exercise any right with respect to the registration of any shares of Common Stock or any security convertible into or exercisable or exchangeable for Common Stock. Notwithstanding the above, beginning after July 25, 2000, 50% of the shares of Common Stock held by the undersigned shall cease to be subject to the terms of this lock-up.</w:t>
      </w:r>
    </w:p>
    <w:p>
      <w:pPr>
        <w:spacing w:after="0" w:line="200" w:lineRule="exact"/>
        <w:rPr>
          <w:sz w:val="20"/>
          <w:szCs w:val="20"/>
          <w:color w:val="auto"/>
        </w:rPr>
      </w:pPr>
    </w:p>
    <w:p>
      <w:pPr>
        <w:spacing w:after="0" w:line="330" w:lineRule="exact"/>
        <w:rPr>
          <w:sz w:val="20"/>
          <w:szCs w:val="20"/>
          <w:color w:val="auto"/>
        </w:rPr>
      </w:pPr>
    </w:p>
    <w:p>
      <w:pPr>
        <w:ind w:left="5" w:right="2839" w:firstLine="646"/>
        <w:spacing w:after="0" w:line="250" w:lineRule="auto"/>
        <w:rPr>
          <w:sz w:val="20"/>
          <w:szCs w:val="20"/>
          <w:color w:val="auto"/>
        </w:rPr>
      </w:pPr>
      <w:r>
        <w:rPr>
          <w:rFonts w:ascii="Courier New" w:cs="Courier New" w:eastAsia="Courier New" w:hAnsi="Courier New"/>
          <w:sz w:val="15"/>
          <w:szCs w:val="15"/>
          <w:color w:val="auto"/>
        </w:rPr>
        <w:t>Notwithstanding the foregoing, transfers to (i) the undersigned's beneficiaries or affiliates, (ii) a trust, the beneficiaries of which are the undersigned, any beneficiary of the undersigned and/or immediate family members of any beneficiaries of the undersigned or (iii) a trust or other entity for charitable and/or estate or financial planning purposes, shall not be prohibited by this agreement; provided, that (x) the donee or transferee agrees in writing to be bound by the foregoing in the same manner as it applies to the undersigned and (y) if the donor or transferor is a reporting person subject to Section 16(a) of the Securities Exchange Act of 1934 (the "Exchange Act"), any gifts or transfers made in accordance with this paragraph shall not require such person to, and such person shall not voluntarily, file a report of such transaction on Form 4 under the Exchange Act. For purposes hereof, "immediate family" shall mean spouse, lineal descendants, father, mother, brother or sister of the transferor and father, mother, brother or sister of the transferor's spouse.</w:t>
      </w:r>
    </w:p>
    <w:p>
      <w:pPr>
        <w:spacing w:after="0" w:line="18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25"/>
          </w:cols>
          <w:pgMar w:left="235" w:top="295"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38</w:t>
      </w:r>
    </w:p>
    <w:p>
      <w:pPr>
        <w:spacing w:after="0" w:line="8" w:lineRule="exact"/>
        <w:rPr>
          <w:sz w:val="20"/>
          <w:szCs w:val="20"/>
          <w:color w:val="auto"/>
        </w:rPr>
      </w:pPr>
    </w:p>
    <w:p>
      <w:pPr>
        <w:jc w:val="both"/>
        <w:ind w:right="3299" w:firstLine="646"/>
        <w:spacing w:after="0" w:line="252" w:lineRule="auto"/>
        <w:rPr>
          <w:sz w:val="20"/>
          <w:szCs w:val="20"/>
          <w:color w:val="auto"/>
        </w:rPr>
      </w:pPr>
      <w:r>
        <w:rPr>
          <w:rFonts w:ascii="Courier New" w:cs="Courier New" w:eastAsia="Courier New" w:hAnsi="Courier New"/>
          <w:sz w:val="15"/>
          <w:szCs w:val="15"/>
          <w:color w:val="auto"/>
        </w:rPr>
        <w:t>The undersigned agrees that the terms of this lock-up supercedes the terms of any and all other lock-ups relating to Common Stock of the Company entered into by the undersigned prior to the date hereof.</w:t>
      </w:r>
    </w:p>
    <w:p>
      <w:pPr>
        <w:spacing w:after="0" w:line="175" w:lineRule="exact"/>
        <w:rPr>
          <w:sz w:val="20"/>
          <w:szCs w:val="20"/>
          <w:color w:val="auto"/>
        </w:rPr>
      </w:pPr>
    </w:p>
    <w:p>
      <w:pPr>
        <w:jc w:val="both"/>
        <w:ind w:right="2839" w:firstLine="646"/>
        <w:spacing w:after="0" w:line="252" w:lineRule="auto"/>
        <w:rPr>
          <w:sz w:val="20"/>
          <w:szCs w:val="20"/>
          <w:color w:val="auto"/>
        </w:rPr>
      </w:pPr>
      <w:r>
        <w:rPr>
          <w:rFonts w:ascii="Courier New" w:cs="Courier New" w:eastAsia="Courier New" w:hAnsi="Courier New"/>
          <w:sz w:val="15"/>
          <w:szCs w:val="15"/>
          <w:color w:val="auto"/>
        </w:rPr>
        <w:t>This agreement shall automatically terminate if the Purchase Agreement is not entered into by June 23, 2000 or if the Purchasers do not purchase the Notes and the Purchase Agreement is terminated pursuant to its terms.</w:t>
      </w:r>
    </w:p>
    <w:p>
      <w:pPr>
        <w:spacing w:after="0" w:line="200" w:lineRule="exact"/>
        <w:rPr>
          <w:sz w:val="20"/>
          <w:szCs w:val="20"/>
          <w:color w:val="auto"/>
        </w:rPr>
      </w:pPr>
    </w:p>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(Print Name of Trust)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(Address and Telephone Number)</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219"/>
          </w:cols>
          <w:pgMar w:left="240" w:top="295"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39</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ANNEX 1</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MANAGEMENT/DIRECTOR LOCK-UP (EXHIBIT B)</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H. Conrades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Sagan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Thomas Leighton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Daniel M. Lewin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Timothy Weller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O. Ball III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Earl P. Galleher III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P. Heinrich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Jonathan Seelig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H. Bilger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Avraham T. Freedman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Ross A. Seider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Wendy Ziner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Kathryn Jordon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Todd A. Dagres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Terrance G. McGuire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Edward W. Scott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Battery Ventures IV,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Battery Investment Partners IV,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Baker Communications Fund,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Polaris Venture Management Co. II.,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Polaris Venture Partners Founders' Fund II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ADASE Partners 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 LOCK-UP (EXHIBIT C-1)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ATREL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Mallard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Conrades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AKME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Bilger 1996 Trust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CHARITABLE TRUST LOCK-UP (EXHIBIT C-2)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TAB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Aurora Trust</w:t>
      </w:r>
    </w:p>
    <w:p>
      <w:pPr>
        <w:sectPr>
          <w:pgSz w:w="11900" w:h="16838" w:orient="portrait"/>
          <w:cols w:equalWidth="0" w:num="1">
            <w:col w:w="10219"/>
          </w:cols>
          <w:pgMar w:left="240" w:top="29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AKAMAI TECHNOLOGIES, INC.,</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Issuer,</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and</w:t>
      </w:r>
    </w:p>
    <w:p>
      <w:pPr>
        <w:spacing w:after="0" w:line="18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18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Trustee</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INDENTURE</w:t>
      </w:r>
    </w:p>
    <w:p>
      <w:pPr>
        <w:spacing w:after="0" w:line="36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Dated as of June 20, 2000</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$250,000,000</w:t>
      </w:r>
    </w:p>
    <w:p>
      <w:pPr>
        <w:spacing w:after="0" w:line="18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5-1/2% Convertible Subordinated Notes Due 2007</w:t>
      </w:r>
    </w:p>
    <w:p>
      <w:pPr>
        <w:sectPr>
          <w:pgSz w:w="11900" w:h="16838" w:orient="portrait"/>
          <w:cols w:equalWidth="0" w:num="1">
            <w:col w:w="9939"/>
          </w:cols>
          <w:pgMar w:left="520" w:top="142"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dot" w:pos="7260" w:val="left"/>
        </w:tabs>
        <w:rPr>
          <w:sz w:val="20"/>
          <w:szCs w:val="20"/>
          <w:color w:val="auto"/>
        </w:rPr>
      </w:pPr>
      <w:r>
        <w:rPr>
          <w:rFonts w:ascii="Courier New" w:cs="Courier New" w:eastAsia="Courier New" w:hAnsi="Courier New"/>
          <w:sz w:val="15"/>
          <w:szCs w:val="15"/>
          <w:color w:val="auto"/>
        </w:rPr>
        <w:t>ARTICLE I DEFINITIONS; TRUST INDENTURE ACT</w:t>
      </w:r>
      <w:r>
        <w:rPr>
          <w:sz w:val="20"/>
          <w:szCs w:val="20"/>
          <w:color w:val="auto"/>
        </w:rPr>
        <w:tab/>
      </w:r>
      <w:r>
        <w:rPr>
          <w:rFonts w:ascii="Courier New" w:cs="Courier New" w:eastAsia="Courier New" w:hAnsi="Courier New"/>
          <w:sz w:val="15"/>
          <w:szCs w:val="15"/>
          <w:color w:val="auto"/>
        </w:rPr>
        <w:t>1</w:t>
      </w:r>
    </w:p>
    <w:p>
      <w:pPr>
        <w:spacing w:after="0" w:line="8" w:lineRule="exact"/>
        <w:rPr>
          <w:sz w:val="20"/>
          <w:szCs w:val="20"/>
          <w:color w:val="auto"/>
        </w:rPr>
      </w:pPr>
    </w:p>
    <w:p>
      <w:pPr>
        <w:ind w:left="280"/>
        <w:spacing w:after="0"/>
        <w:tabs>
          <w:tab w:leader="dot" w:pos="7260" w:val="left"/>
        </w:tabs>
        <w:rPr>
          <w:sz w:val="20"/>
          <w:szCs w:val="20"/>
          <w:color w:val="auto"/>
        </w:rPr>
      </w:pPr>
      <w:r>
        <w:rPr>
          <w:rFonts w:ascii="Courier New" w:cs="Courier New" w:eastAsia="Courier New" w:hAnsi="Courier New"/>
          <w:sz w:val="15"/>
          <w:szCs w:val="15"/>
          <w:color w:val="auto"/>
        </w:rPr>
        <w:t>SECTION 1.01. DEFINITIONS</w:t>
      </w:r>
      <w:r>
        <w:rPr>
          <w:sz w:val="20"/>
          <w:szCs w:val="20"/>
          <w:color w:val="auto"/>
        </w:rPr>
        <w:tab/>
      </w:r>
      <w:r>
        <w:rPr>
          <w:rFonts w:ascii="Courier New" w:cs="Courier New" w:eastAsia="Courier New" w:hAnsi="Courier New"/>
          <w:sz w:val="15"/>
          <w:szCs w:val="15"/>
          <w:color w:val="auto"/>
        </w:rPr>
        <w:t>1</w:t>
      </w:r>
    </w:p>
    <w:p>
      <w:pPr>
        <w:spacing w:after="0" w:line="8" w:lineRule="exact"/>
        <w:rPr>
          <w:sz w:val="20"/>
          <w:szCs w:val="20"/>
          <w:color w:val="auto"/>
        </w:rPr>
      </w:pPr>
    </w:p>
    <w:p>
      <w:pPr>
        <w:ind w:left="280"/>
        <w:spacing w:after="0"/>
        <w:tabs>
          <w:tab w:leader="dot" w:pos="7260" w:val="left"/>
        </w:tabs>
        <w:rPr>
          <w:sz w:val="20"/>
          <w:szCs w:val="20"/>
          <w:color w:val="auto"/>
        </w:rPr>
      </w:pPr>
      <w:r>
        <w:rPr>
          <w:rFonts w:ascii="Courier New" w:cs="Courier New" w:eastAsia="Courier New" w:hAnsi="Courier New"/>
          <w:sz w:val="15"/>
          <w:szCs w:val="15"/>
          <w:color w:val="auto"/>
        </w:rPr>
        <w:t>SECTION 1.02. OTHER DEFINITIONS</w:t>
      </w:r>
      <w:r>
        <w:rPr>
          <w:sz w:val="20"/>
          <w:szCs w:val="20"/>
          <w:color w:val="auto"/>
        </w:rPr>
        <w:tab/>
      </w:r>
      <w:r>
        <w:rPr>
          <w:rFonts w:ascii="Courier New" w:cs="Courier New" w:eastAsia="Courier New" w:hAnsi="Courier New"/>
          <w:sz w:val="15"/>
          <w:szCs w:val="15"/>
          <w:color w:val="auto"/>
        </w:rPr>
        <w:t>5</w:t>
      </w:r>
    </w:p>
    <w:p>
      <w:pPr>
        <w:spacing w:after="0" w:line="8" w:lineRule="exact"/>
        <w:rPr>
          <w:sz w:val="20"/>
          <w:szCs w:val="20"/>
          <w:color w:val="auto"/>
        </w:rPr>
      </w:pPr>
    </w:p>
    <w:p>
      <w:pPr>
        <w:ind w:left="280"/>
        <w:spacing w:after="0"/>
        <w:tabs>
          <w:tab w:leader="dot" w:pos="7260" w:val="left"/>
        </w:tabs>
        <w:rPr>
          <w:sz w:val="20"/>
          <w:szCs w:val="20"/>
          <w:color w:val="auto"/>
        </w:rPr>
      </w:pPr>
      <w:r>
        <w:rPr>
          <w:rFonts w:ascii="Courier New" w:cs="Courier New" w:eastAsia="Courier New" w:hAnsi="Courier New"/>
          <w:sz w:val="15"/>
          <w:szCs w:val="15"/>
          <w:color w:val="auto"/>
        </w:rPr>
        <w:t>SECTION 1.03. INCORPORATION BY REFERENCE OF TRUST INDENTURE ACT</w:t>
      </w:r>
      <w:r>
        <w:rPr>
          <w:sz w:val="20"/>
          <w:szCs w:val="20"/>
          <w:color w:val="auto"/>
        </w:rPr>
        <w:tab/>
      </w:r>
      <w:r>
        <w:rPr>
          <w:rFonts w:ascii="Courier New" w:cs="Courier New" w:eastAsia="Courier New" w:hAnsi="Courier New"/>
          <w:sz w:val="15"/>
          <w:szCs w:val="15"/>
          <w:color w:val="auto"/>
        </w:rPr>
        <w:t>6</w:t>
      </w:r>
    </w:p>
    <w:p>
      <w:pPr>
        <w:spacing w:after="0" w:line="8" w:lineRule="exact"/>
        <w:rPr>
          <w:sz w:val="20"/>
          <w:szCs w:val="20"/>
          <w:color w:val="auto"/>
        </w:rPr>
      </w:pPr>
    </w:p>
    <w:p>
      <w:pPr>
        <w:ind w:left="280"/>
        <w:spacing w:after="0"/>
        <w:tabs>
          <w:tab w:leader="dot" w:pos="7260" w:val="left"/>
        </w:tabs>
        <w:rPr>
          <w:sz w:val="20"/>
          <w:szCs w:val="20"/>
          <w:color w:val="auto"/>
        </w:rPr>
      </w:pPr>
      <w:r>
        <w:rPr>
          <w:rFonts w:ascii="Courier New" w:cs="Courier New" w:eastAsia="Courier New" w:hAnsi="Courier New"/>
          <w:sz w:val="15"/>
          <w:szCs w:val="15"/>
          <w:color w:val="auto"/>
        </w:rPr>
        <w:t>SECTION 1.04. RULES OF CONSTRUCTION</w:t>
      </w:r>
      <w:r>
        <w:rPr>
          <w:sz w:val="20"/>
          <w:szCs w:val="20"/>
          <w:color w:val="auto"/>
        </w:rPr>
        <w:tab/>
      </w:r>
      <w:r>
        <w:rPr>
          <w:rFonts w:ascii="Courier New" w:cs="Courier New" w:eastAsia="Courier New" w:hAnsi="Courier New"/>
          <w:sz w:val="15"/>
          <w:szCs w:val="15"/>
          <w:color w:val="auto"/>
        </w:rPr>
        <w:t>7</w:t>
      </w:r>
    </w:p>
    <w:p>
      <w:pPr>
        <w:spacing w:after="0" w:line="185" w:lineRule="exact"/>
        <w:rPr>
          <w:sz w:val="20"/>
          <w:szCs w:val="20"/>
          <w:color w:val="auto"/>
        </w:rPr>
      </w:pPr>
    </w:p>
    <w:p>
      <w:pPr>
        <w:spacing w:after="0"/>
        <w:tabs>
          <w:tab w:leader="dot" w:pos="7260" w:val="left"/>
        </w:tabs>
        <w:rPr>
          <w:sz w:val="20"/>
          <w:szCs w:val="20"/>
          <w:color w:val="auto"/>
        </w:rPr>
      </w:pPr>
      <w:r>
        <w:rPr>
          <w:rFonts w:ascii="Courier New" w:cs="Courier New" w:eastAsia="Courier New" w:hAnsi="Courier New"/>
          <w:sz w:val="15"/>
          <w:szCs w:val="15"/>
          <w:color w:val="auto"/>
        </w:rPr>
        <w:t>ARTICLE II THE NOTES</w:t>
      </w:r>
      <w:r>
        <w:rPr>
          <w:sz w:val="20"/>
          <w:szCs w:val="20"/>
          <w:color w:val="auto"/>
        </w:rPr>
        <w:tab/>
      </w:r>
      <w:r>
        <w:rPr>
          <w:rFonts w:ascii="Courier New" w:cs="Courier New" w:eastAsia="Courier New" w:hAnsi="Courier New"/>
          <w:sz w:val="15"/>
          <w:szCs w:val="15"/>
          <w:color w:val="auto"/>
        </w:rPr>
        <w:t>7</w:t>
      </w:r>
    </w:p>
    <w:p>
      <w:pPr>
        <w:spacing w:after="0" w:line="8" w:lineRule="exact"/>
        <w:rPr>
          <w:sz w:val="20"/>
          <w:szCs w:val="20"/>
          <w:color w:val="auto"/>
        </w:rPr>
      </w:pPr>
    </w:p>
    <w:p>
      <w:pPr>
        <w:ind w:left="280"/>
        <w:spacing w:after="0"/>
        <w:tabs>
          <w:tab w:leader="dot" w:pos="7260" w:val="left"/>
        </w:tabs>
        <w:rPr>
          <w:sz w:val="20"/>
          <w:szCs w:val="20"/>
          <w:color w:val="auto"/>
        </w:rPr>
      </w:pPr>
      <w:r>
        <w:rPr>
          <w:rFonts w:ascii="Courier New" w:cs="Courier New" w:eastAsia="Courier New" w:hAnsi="Courier New"/>
          <w:sz w:val="15"/>
          <w:szCs w:val="15"/>
          <w:color w:val="auto"/>
        </w:rPr>
        <w:t>SECTION 2.01. FORM AND DATING</w:t>
      </w:r>
      <w:r>
        <w:rPr>
          <w:sz w:val="20"/>
          <w:szCs w:val="20"/>
          <w:color w:val="auto"/>
        </w:rPr>
        <w:tab/>
      </w:r>
      <w:r>
        <w:rPr>
          <w:rFonts w:ascii="Courier New" w:cs="Courier New" w:eastAsia="Courier New" w:hAnsi="Courier New"/>
          <w:sz w:val="15"/>
          <w:szCs w:val="15"/>
          <w:color w:val="auto"/>
        </w:rPr>
        <w:t>7</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2.02. EXECUTION AND AUTHENTICATION</w:t>
      </w:r>
      <w:r>
        <w:rPr>
          <w:sz w:val="20"/>
          <w:szCs w:val="20"/>
          <w:color w:val="auto"/>
        </w:rPr>
        <w:tab/>
      </w:r>
      <w:r>
        <w:rPr>
          <w:rFonts w:ascii="Courier New" w:cs="Courier New" w:eastAsia="Courier New" w:hAnsi="Courier New"/>
          <w:sz w:val="15"/>
          <w:szCs w:val="15"/>
          <w:color w:val="auto"/>
        </w:rPr>
        <w:t>11</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2.03. REGISTRAR AND PAYING AGENT</w:t>
      </w:r>
      <w:r>
        <w:rPr>
          <w:sz w:val="20"/>
          <w:szCs w:val="20"/>
          <w:color w:val="auto"/>
        </w:rPr>
        <w:tab/>
      </w:r>
      <w:r>
        <w:rPr>
          <w:rFonts w:ascii="Courier New" w:cs="Courier New" w:eastAsia="Courier New" w:hAnsi="Courier New"/>
          <w:sz w:val="15"/>
          <w:szCs w:val="15"/>
          <w:color w:val="auto"/>
        </w:rPr>
        <w:t>11</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2.04. PAYING AGENT TO HOLD MONEY IN TRUST</w:t>
      </w:r>
      <w:r>
        <w:rPr>
          <w:sz w:val="20"/>
          <w:szCs w:val="20"/>
          <w:color w:val="auto"/>
        </w:rPr>
        <w:tab/>
      </w:r>
      <w:r>
        <w:rPr>
          <w:rFonts w:ascii="Courier New" w:cs="Courier New" w:eastAsia="Courier New" w:hAnsi="Courier New"/>
          <w:sz w:val="15"/>
          <w:szCs w:val="15"/>
          <w:color w:val="auto"/>
        </w:rPr>
        <w:t>12</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2.05. HOLDER LISTS</w:t>
      </w:r>
      <w:r>
        <w:rPr>
          <w:sz w:val="20"/>
          <w:szCs w:val="20"/>
          <w:color w:val="auto"/>
        </w:rPr>
        <w:tab/>
      </w:r>
      <w:r>
        <w:rPr>
          <w:rFonts w:ascii="Courier New" w:cs="Courier New" w:eastAsia="Courier New" w:hAnsi="Courier New"/>
          <w:sz w:val="15"/>
          <w:szCs w:val="15"/>
          <w:color w:val="auto"/>
        </w:rPr>
        <w:t>12</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2.06. TRANSFER AND EXCHANGE</w:t>
      </w:r>
      <w:r>
        <w:rPr>
          <w:sz w:val="20"/>
          <w:szCs w:val="20"/>
          <w:color w:val="auto"/>
        </w:rPr>
        <w:tab/>
      </w:r>
      <w:r>
        <w:rPr>
          <w:rFonts w:ascii="Courier New" w:cs="Courier New" w:eastAsia="Courier New" w:hAnsi="Courier New"/>
          <w:sz w:val="15"/>
          <w:szCs w:val="15"/>
          <w:color w:val="auto"/>
        </w:rPr>
        <w:t>12</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2.07. REPLACEMENT NOTES</w:t>
      </w:r>
      <w:r>
        <w:rPr>
          <w:sz w:val="20"/>
          <w:szCs w:val="20"/>
          <w:color w:val="auto"/>
        </w:rPr>
        <w:tab/>
      </w:r>
      <w:r>
        <w:rPr>
          <w:rFonts w:ascii="Courier New" w:cs="Courier New" w:eastAsia="Courier New" w:hAnsi="Courier New"/>
          <w:sz w:val="15"/>
          <w:szCs w:val="15"/>
          <w:color w:val="auto"/>
        </w:rPr>
        <w:t>17</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2.08. OUTSTANDING NOTES</w:t>
      </w:r>
      <w:r>
        <w:rPr>
          <w:sz w:val="20"/>
          <w:szCs w:val="20"/>
          <w:color w:val="auto"/>
        </w:rPr>
        <w:tab/>
      </w:r>
      <w:r>
        <w:rPr>
          <w:rFonts w:ascii="Courier New" w:cs="Courier New" w:eastAsia="Courier New" w:hAnsi="Courier New"/>
          <w:sz w:val="15"/>
          <w:szCs w:val="15"/>
          <w:color w:val="auto"/>
        </w:rPr>
        <w:t>18</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2.09. TREASURY NOTES</w:t>
      </w:r>
      <w:r>
        <w:rPr>
          <w:sz w:val="20"/>
          <w:szCs w:val="20"/>
          <w:color w:val="auto"/>
        </w:rPr>
        <w:tab/>
      </w:r>
      <w:r>
        <w:rPr>
          <w:rFonts w:ascii="Courier New" w:cs="Courier New" w:eastAsia="Courier New" w:hAnsi="Courier New"/>
          <w:sz w:val="15"/>
          <w:szCs w:val="15"/>
          <w:color w:val="auto"/>
        </w:rPr>
        <w:t>18</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2.10. TEMPORARY NOTES; GLOBAL NOTES</w:t>
      </w:r>
      <w:r>
        <w:rPr>
          <w:sz w:val="20"/>
          <w:szCs w:val="20"/>
          <w:color w:val="auto"/>
        </w:rPr>
        <w:tab/>
      </w:r>
      <w:r>
        <w:rPr>
          <w:rFonts w:ascii="Courier New" w:cs="Courier New" w:eastAsia="Courier New" w:hAnsi="Courier New"/>
          <w:sz w:val="15"/>
          <w:szCs w:val="15"/>
          <w:color w:val="auto"/>
        </w:rPr>
        <w:t>18</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2.11. CANCELLATION</w:t>
      </w:r>
      <w:r>
        <w:rPr>
          <w:sz w:val="20"/>
          <w:szCs w:val="20"/>
          <w:color w:val="auto"/>
        </w:rPr>
        <w:tab/>
      </w:r>
      <w:r>
        <w:rPr>
          <w:rFonts w:ascii="Courier New" w:cs="Courier New" w:eastAsia="Courier New" w:hAnsi="Courier New"/>
          <w:sz w:val="15"/>
          <w:szCs w:val="15"/>
          <w:color w:val="auto"/>
        </w:rPr>
        <w:t>19</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2.12. DEFAULTED INTEREST</w:t>
      </w:r>
      <w:r>
        <w:rPr>
          <w:sz w:val="20"/>
          <w:szCs w:val="20"/>
          <w:color w:val="auto"/>
        </w:rPr>
        <w:tab/>
      </w:r>
      <w:r>
        <w:rPr>
          <w:rFonts w:ascii="Courier New" w:cs="Courier New" w:eastAsia="Courier New" w:hAnsi="Courier New"/>
          <w:sz w:val="15"/>
          <w:szCs w:val="15"/>
          <w:color w:val="auto"/>
        </w:rPr>
        <w:t>19</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2.13. CUSIP NUMBERS</w:t>
      </w:r>
      <w:r>
        <w:rPr>
          <w:sz w:val="20"/>
          <w:szCs w:val="20"/>
          <w:color w:val="auto"/>
        </w:rPr>
        <w:tab/>
      </w:r>
      <w:r>
        <w:rPr>
          <w:rFonts w:ascii="Courier New" w:cs="Courier New" w:eastAsia="Courier New" w:hAnsi="Courier New"/>
          <w:sz w:val="15"/>
          <w:szCs w:val="15"/>
          <w:color w:val="auto"/>
        </w:rPr>
        <w:t>19</w:t>
      </w:r>
    </w:p>
    <w:p>
      <w:pPr>
        <w:spacing w:after="0" w:line="185"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5"/>
          <w:szCs w:val="15"/>
          <w:color w:val="auto"/>
        </w:rPr>
        <w:t>ARTICLE III REDEMPTION</w:t>
      </w:r>
      <w:r>
        <w:rPr>
          <w:sz w:val="20"/>
          <w:szCs w:val="20"/>
          <w:color w:val="auto"/>
        </w:rPr>
        <w:tab/>
      </w:r>
      <w:r>
        <w:rPr>
          <w:rFonts w:ascii="Courier New" w:cs="Courier New" w:eastAsia="Courier New" w:hAnsi="Courier New"/>
          <w:sz w:val="15"/>
          <w:szCs w:val="15"/>
          <w:color w:val="auto"/>
        </w:rPr>
        <w:t>20</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3.01. NOTICES TO TRUSTEE</w:t>
      </w:r>
      <w:r>
        <w:rPr>
          <w:sz w:val="20"/>
          <w:szCs w:val="20"/>
          <w:color w:val="auto"/>
        </w:rPr>
        <w:tab/>
      </w:r>
      <w:r>
        <w:rPr>
          <w:rFonts w:ascii="Courier New" w:cs="Courier New" w:eastAsia="Courier New" w:hAnsi="Courier New"/>
          <w:sz w:val="15"/>
          <w:szCs w:val="15"/>
          <w:color w:val="auto"/>
        </w:rPr>
        <w:t>20</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3.02. SELECTION OF NOTES TO BE REDEEMED</w:t>
      </w:r>
      <w:r>
        <w:rPr>
          <w:sz w:val="20"/>
          <w:szCs w:val="20"/>
          <w:color w:val="auto"/>
        </w:rPr>
        <w:tab/>
      </w:r>
      <w:r>
        <w:rPr>
          <w:rFonts w:ascii="Courier New" w:cs="Courier New" w:eastAsia="Courier New" w:hAnsi="Courier New"/>
          <w:sz w:val="15"/>
          <w:szCs w:val="15"/>
          <w:color w:val="auto"/>
        </w:rPr>
        <w:t>20</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3.03. NOTICE OF REDEMPTION</w:t>
      </w:r>
      <w:r>
        <w:rPr>
          <w:sz w:val="20"/>
          <w:szCs w:val="20"/>
          <w:color w:val="auto"/>
        </w:rPr>
        <w:tab/>
      </w:r>
      <w:r>
        <w:rPr>
          <w:rFonts w:ascii="Courier New" w:cs="Courier New" w:eastAsia="Courier New" w:hAnsi="Courier New"/>
          <w:sz w:val="15"/>
          <w:szCs w:val="15"/>
          <w:color w:val="auto"/>
        </w:rPr>
        <w:t>20</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3.04. EFFECT OF NOTICE OF REDEMPTION</w:t>
      </w:r>
      <w:r>
        <w:rPr>
          <w:sz w:val="20"/>
          <w:szCs w:val="20"/>
          <w:color w:val="auto"/>
        </w:rPr>
        <w:tab/>
      </w:r>
      <w:r>
        <w:rPr>
          <w:rFonts w:ascii="Courier New" w:cs="Courier New" w:eastAsia="Courier New" w:hAnsi="Courier New"/>
          <w:sz w:val="15"/>
          <w:szCs w:val="15"/>
          <w:color w:val="auto"/>
        </w:rPr>
        <w:t>21</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3.05. DEPOSIT OF REDEMPTION PRICE</w:t>
      </w:r>
      <w:r>
        <w:rPr>
          <w:sz w:val="20"/>
          <w:szCs w:val="20"/>
          <w:color w:val="auto"/>
        </w:rPr>
        <w:tab/>
      </w:r>
      <w:r>
        <w:rPr>
          <w:rFonts w:ascii="Courier New" w:cs="Courier New" w:eastAsia="Courier New" w:hAnsi="Courier New"/>
          <w:sz w:val="15"/>
          <w:szCs w:val="15"/>
          <w:color w:val="auto"/>
        </w:rPr>
        <w:t>21</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3.06. NOTES REDEEMED IN PART</w:t>
      </w:r>
      <w:r>
        <w:rPr>
          <w:sz w:val="20"/>
          <w:szCs w:val="20"/>
          <w:color w:val="auto"/>
        </w:rPr>
        <w:tab/>
      </w:r>
      <w:r>
        <w:rPr>
          <w:rFonts w:ascii="Courier New" w:cs="Courier New" w:eastAsia="Courier New" w:hAnsi="Courier New"/>
          <w:sz w:val="15"/>
          <w:szCs w:val="15"/>
          <w:color w:val="auto"/>
        </w:rPr>
        <w:t>21</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3.07. OPTIONAL REDEMPTION</w:t>
      </w:r>
      <w:r>
        <w:rPr>
          <w:sz w:val="20"/>
          <w:szCs w:val="20"/>
          <w:color w:val="auto"/>
        </w:rPr>
        <w:tab/>
      </w:r>
      <w:r>
        <w:rPr>
          <w:rFonts w:ascii="Courier New" w:cs="Courier New" w:eastAsia="Courier New" w:hAnsi="Courier New"/>
          <w:sz w:val="15"/>
          <w:szCs w:val="15"/>
          <w:color w:val="auto"/>
        </w:rPr>
        <w:t>22</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3.08. MANDATORY REDEMPTION</w:t>
      </w:r>
      <w:r>
        <w:rPr>
          <w:sz w:val="20"/>
          <w:szCs w:val="20"/>
          <w:color w:val="auto"/>
        </w:rPr>
        <w:tab/>
      </w:r>
      <w:r>
        <w:rPr>
          <w:rFonts w:ascii="Courier New" w:cs="Courier New" w:eastAsia="Courier New" w:hAnsi="Courier New"/>
          <w:sz w:val="15"/>
          <w:szCs w:val="15"/>
          <w:color w:val="auto"/>
        </w:rPr>
        <w:t>22</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3.09. PURCHASE OFFER</w:t>
      </w:r>
      <w:r>
        <w:rPr>
          <w:sz w:val="20"/>
          <w:szCs w:val="20"/>
          <w:color w:val="auto"/>
        </w:rPr>
        <w:tab/>
      </w:r>
      <w:r>
        <w:rPr>
          <w:rFonts w:ascii="Courier New" w:cs="Courier New" w:eastAsia="Courier New" w:hAnsi="Courier New"/>
          <w:sz w:val="15"/>
          <w:szCs w:val="15"/>
          <w:color w:val="auto"/>
        </w:rPr>
        <w:t>22</w:t>
      </w:r>
    </w:p>
    <w:p>
      <w:pPr>
        <w:spacing w:after="0" w:line="185"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5"/>
          <w:szCs w:val="15"/>
          <w:color w:val="auto"/>
        </w:rPr>
        <w:t>ARTICLE IV COVENANTS</w:t>
      </w:r>
      <w:r>
        <w:rPr>
          <w:sz w:val="20"/>
          <w:szCs w:val="20"/>
          <w:color w:val="auto"/>
        </w:rPr>
        <w:tab/>
      </w:r>
      <w:r>
        <w:rPr>
          <w:rFonts w:ascii="Courier New" w:cs="Courier New" w:eastAsia="Courier New" w:hAnsi="Courier New"/>
          <w:sz w:val="15"/>
          <w:szCs w:val="15"/>
          <w:color w:val="auto"/>
        </w:rPr>
        <w:t>24</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4.01. PAYMENT OF NOTES</w:t>
      </w:r>
      <w:r>
        <w:rPr>
          <w:sz w:val="20"/>
          <w:szCs w:val="20"/>
          <w:color w:val="auto"/>
        </w:rPr>
        <w:tab/>
      </w:r>
      <w:r>
        <w:rPr>
          <w:rFonts w:ascii="Courier New" w:cs="Courier New" w:eastAsia="Courier New" w:hAnsi="Courier New"/>
          <w:sz w:val="15"/>
          <w:szCs w:val="15"/>
          <w:color w:val="auto"/>
        </w:rPr>
        <w:t>24</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4.02. REPORTS</w:t>
      </w:r>
      <w:r>
        <w:rPr>
          <w:sz w:val="20"/>
          <w:szCs w:val="20"/>
          <w:color w:val="auto"/>
        </w:rPr>
        <w:tab/>
      </w:r>
      <w:r>
        <w:rPr>
          <w:rFonts w:ascii="Courier New" w:cs="Courier New" w:eastAsia="Courier New" w:hAnsi="Courier New"/>
          <w:sz w:val="15"/>
          <w:szCs w:val="15"/>
          <w:color w:val="auto"/>
        </w:rPr>
        <w:t>24</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4.03. COMPLIANCE CERTIFICATE</w:t>
      </w:r>
      <w:r>
        <w:rPr>
          <w:sz w:val="20"/>
          <w:szCs w:val="20"/>
          <w:color w:val="auto"/>
        </w:rPr>
        <w:tab/>
      </w:r>
      <w:r>
        <w:rPr>
          <w:rFonts w:ascii="Courier New" w:cs="Courier New" w:eastAsia="Courier New" w:hAnsi="Courier New"/>
          <w:sz w:val="15"/>
          <w:szCs w:val="15"/>
          <w:color w:val="auto"/>
        </w:rPr>
        <w:t>24</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4.04. STAY, EXTENSION AND USURY LAWS</w:t>
      </w:r>
      <w:r>
        <w:rPr>
          <w:sz w:val="20"/>
          <w:szCs w:val="20"/>
          <w:color w:val="auto"/>
        </w:rPr>
        <w:tab/>
      </w:r>
      <w:r>
        <w:rPr>
          <w:rFonts w:ascii="Courier New" w:cs="Courier New" w:eastAsia="Courier New" w:hAnsi="Courier New"/>
          <w:sz w:val="15"/>
          <w:szCs w:val="15"/>
          <w:color w:val="auto"/>
        </w:rPr>
        <w:t>25</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4.05. CORPORATE EXISTENCE</w:t>
      </w:r>
      <w:r>
        <w:rPr>
          <w:sz w:val="20"/>
          <w:szCs w:val="20"/>
          <w:color w:val="auto"/>
        </w:rPr>
        <w:tab/>
      </w:r>
      <w:r>
        <w:rPr>
          <w:rFonts w:ascii="Courier New" w:cs="Courier New" w:eastAsia="Courier New" w:hAnsi="Courier New"/>
          <w:sz w:val="15"/>
          <w:szCs w:val="15"/>
          <w:color w:val="auto"/>
        </w:rPr>
        <w:t>25</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4.06. TAXES</w:t>
      </w:r>
      <w:r>
        <w:rPr>
          <w:sz w:val="20"/>
          <w:szCs w:val="20"/>
          <w:color w:val="auto"/>
        </w:rPr>
        <w:tab/>
      </w:r>
      <w:r>
        <w:rPr>
          <w:rFonts w:ascii="Courier New" w:cs="Courier New" w:eastAsia="Courier New" w:hAnsi="Courier New"/>
          <w:sz w:val="15"/>
          <w:szCs w:val="15"/>
          <w:color w:val="auto"/>
        </w:rPr>
        <w:t>26</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4.07. FUNDAMENTAL CHANGE</w:t>
      </w:r>
      <w:r>
        <w:rPr>
          <w:sz w:val="20"/>
          <w:szCs w:val="20"/>
          <w:color w:val="auto"/>
        </w:rPr>
        <w:tab/>
      </w:r>
      <w:r>
        <w:rPr>
          <w:rFonts w:ascii="Courier New" w:cs="Courier New" w:eastAsia="Courier New" w:hAnsi="Courier New"/>
          <w:sz w:val="15"/>
          <w:szCs w:val="15"/>
          <w:color w:val="auto"/>
        </w:rPr>
        <w:t>26</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4.08. LIMITATION ON STATUS AS INVESTMENT COMPANY</w:t>
      </w:r>
      <w:r>
        <w:rPr>
          <w:sz w:val="20"/>
          <w:szCs w:val="20"/>
          <w:color w:val="auto"/>
        </w:rPr>
        <w:tab/>
      </w:r>
      <w:r>
        <w:rPr>
          <w:rFonts w:ascii="Courier New" w:cs="Courier New" w:eastAsia="Courier New" w:hAnsi="Courier New"/>
          <w:sz w:val="15"/>
          <w:szCs w:val="15"/>
          <w:color w:val="auto"/>
        </w:rPr>
        <w:t>26</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4.09. SPECIAL INTEREST</w:t>
      </w:r>
      <w:r>
        <w:rPr>
          <w:sz w:val="20"/>
          <w:szCs w:val="20"/>
          <w:color w:val="auto"/>
        </w:rPr>
        <w:tab/>
      </w:r>
      <w:r>
        <w:rPr>
          <w:rFonts w:ascii="Courier New" w:cs="Courier New" w:eastAsia="Courier New" w:hAnsi="Courier New"/>
          <w:sz w:val="15"/>
          <w:szCs w:val="15"/>
          <w:color w:val="auto"/>
        </w:rPr>
        <w:t>26</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95"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2"/>
        </w:trPr>
        <w:tc>
          <w:tcPr>
            <w:tcW w:w="7100" w:type="dxa"/>
            <w:vAlign w:val="bottom"/>
          </w:tcPr>
          <w:p>
            <w:pPr>
              <w:ind w:left="280"/>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4"/>
                <w:szCs w:val="14"/>
                <w:color w:val="auto"/>
              </w:rPr>
            </w:pPr>
          </w:p>
        </w:tc>
      </w:tr>
      <w:tr>
        <w:trPr>
          <w:trHeight w:val="88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ARTICLE V CONVERSION........................................................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5.01. CONVERSION PRIVILEGE.......................................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5.02. CONVERSION PROCEDURE.......................................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5.03. FRACTIONAL SHARES..........................................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5.04. TAXES ON CONVERSION........................................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5.05. COMPANY TO PROVIDE STOCK...................................</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5.06. ADJUSTMENT OF CONVERSION PRICE.............................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5.07. NO ADJUSTMENT..............................................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5.08. OTHER ADJUSTMENTS..........................................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5.09. ADJUSTMENTS FOR TAX PURPOSES...............................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5.10. NOTICE OF ADJUSTMENT.......................................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5.11. NOTICE OF CERTAIN TRANSACTIONS.............................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7"/>
        </w:trPr>
        <w:tc>
          <w:tcPr>
            <w:tcW w:w="7100" w:type="dxa"/>
            <w:vAlign w:val="bottom"/>
          </w:tcPr>
          <w:p>
            <w:pPr>
              <w:ind w:left="280"/>
              <w:spacing w:after="0"/>
              <w:rPr>
                <w:sz w:val="20"/>
                <w:szCs w:val="20"/>
                <w:color w:val="auto"/>
              </w:rPr>
            </w:pPr>
            <w:r>
              <w:rPr>
                <w:rFonts w:ascii="Courier New" w:cs="Courier New" w:eastAsia="Courier New" w:hAnsi="Courier New"/>
                <w:sz w:val="15"/>
                <w:szCs w:val="15"/>
                <w:color w:val="auto"/>
              </w:rPr>
              <w:t>SECTION 5.12. EFFECT OF RECLASSIFICATIONS, CONSOLIDATIONS,</w:t>
            </w:r>
          </w:p>
        </w:tc>
        <w:tc>
          <w:tcPr>
            <w:tcW w:w="280" w:type="dxa"/>
            <w:vAlign w:val="bottom"/>
          </w:tcPr>
          <w:p>
            <w:pPr>
              <w:spacing w:after="0"/>
              <w:rPr>
                <w:sz w:val="15"/>
                <w:szCs w:val="15"/>
                <w:color w:val="auto"/>
              </w:rPr>
            </w:pP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MERGERS OR SALES ON CONVERSION PRIVILEGE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5.13. TRUSTEE'S DISCLAIMER.......................................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55"/>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ARTICLE VI SUBORDINATION....................................................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6.01. AGREEMENT TO SUBORDINATE AND RANKING.......................</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6.02. NO PAYMENT ON NOTES IF SENIOR DEBT IN DEFAULT..............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7"/>
        </w:trPr>
        <w:tc>
          <w:tcPr>
            <w:tcW w:w="7100" w:type="dxa"/>
            <w:vAlign w:val="bottom"/>
          </w:tcPr>
          <w:p>
            <w:pPr>
              <w:ind w:left="280"/>
              <w:spacing w:after="0"/>
              <w:rPr>
                <w:sz w:val="20"/>
                <w:szCs w:val="20"/>
                <w:color w:val="auto"/>
              </w:rPr>
            </w:pPr>
            <w:r>
              <w:rPr>
                <w:rFonts w:ascii="Courier New" w:cs="Courier New" w:eastAsia="Courier New" w:hAnsi="Courier New"/>
                <w:sz w:val="15"/>
                <w:szCs w:val="15"/>
                <w:color w:val="auto"/>
              </w:rPr>
              <w:t>SECTION 6.03. DISTRIBUTION ON ACCELERATION OF NOTES; DISSOLUTION AND</w:t>
            </w:r>
          </w:p>
        </w:tc>
        <w:tc>
          <w:tcPr>
            <w:tcW w:w="280" w:type="dxa"/>
            <w:vAlign w:val="bottom"/>
          </w:tcPr>
          <w:p>
            <w:pPr>
              <w:spacing w:after="0"/>
              <w:rPr>
                <w:sz w:val="15"/>
                <w:szCs w:val="15"/>
                <w:color w:val="auto"/>
              </w:rPr>
            </w:pP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REORGANIZATION; SUBROGATION OF NOTES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6.04. RELIANCE BY SENIOR DEBT ON SUBORDINATION PROVISIONS........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6.05. NO WAIVER OF SUBORDINATION PROVISIONS......................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6.06. TRUSTEE'S RELATION TO SENIOR DEBT..........................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6.07. OTHER PROVISIONS SUBJECT HERETO............................</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55"/>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ARTICLE VII SUCCESSORS......................................................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7.01. LIMITATION ON MERGER, SALE OR CONSOLIDATION................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7.02. SUCCESSOR CORPORATION SUBSTITUTED..........................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355"/>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ARTICLE VIII DEFAULTS AND REMEDIES..........................................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8.01. EVENTS OF DEFAULT..........................................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8.02. ACCELERATION...............................................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8.03. OTHER REMEDIES.............................................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8.04. WAIVER OF PAST DEFAULTS....................................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8.05. CONTROL BY MAJORITY........................................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8.06. LIMITATION ON SUITS........................................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8.07. RIGHTS OF HOLDERS TO RECEIVE PAYMENT.......................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8.08. COLLECTION SUIT BY TRUSTEE.................................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8.09. TRUSTEE MAY FILE PROOFS OF CLAIM...........................</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8.10. PRIORITIES.................................................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8.11. UNDERTAKING FOR COSTS......................................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355"/>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ARTICLE IX TRUSTEE..........................................................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9.01. DUTIES OF TRUSTEE..........................................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9.02. RIGHTS OF TRUSTEE..........................................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7"/>
        </w:trPr>
        <w:tc>
          <w:tcPr>
            <w:tcW w:w="7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SECTION 9.03. INDIVIDUAL RIGHTS OF TRUSTEE...............................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bl>
    <w:p>
      <w:pPr>
        <w:spacing w:after="0" w:line="3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95"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9.04. TRUSTEE'S DISCLAIMER</w:t>
      </w:r>
      <w:r>
        <w:rPr>
          <w:sz w:val="20"/>
          <w:szCs w:val="20"/>
          <w:color w:val="auto"/>
        </w:rPr>
        <w:tab/>
      </w:r>
      <w:r>
        <w:rPr>
          <w:rFonts w:ascii="Courier New" w:cs="Courier New" w:eastAsia="Courier New" w:hAnsi="Courier New"/>
          <w:sz w:val="15"/>
          <w:szCs w:val="15"/>
          <w:color w:val="auto"/>
        </w:rPr>
        <w:t>47</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9.05. NOTICE OF DEFAULTS</w:t>
      </w:r>
      <w:r>
        <w:rPr>
          <w:sz w:val="20"/>
          <w:szCs w:val="20"/>
          <w:color w:val="auto"/>
        </w:rPr>
        <w:tab/>
      </w:r>
      <w:r>
        <w:rPr>
          <w:rFonts w:ascii="Courier New" w:cs="Courier New" w:eastAsia="Courier New" w:hAnsi="Courier New"/>
          <w:sz w:val="15"/>
          <w:szCs w:val="15"/>
          <w:color w:val="auto"/>
        </w:rPr>
        <w:t>47</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9.06. REPORTS BY TRUSTEE TO HOLDERS</w:t>
      </w:r>
      <w:r>
        <w:rPr>
          <w:sz w:val="20"/>
          <w:szCs w:val="20"/>
          <w:color w:val="auto"/>
        </w:rPr>
        <w:tab/>
      </w:r>
      <w:r>
        <w:rPr>
          <w:rFonts w:ascii="Courier New" w:cs="Courier New" w:eastAsia="Courier New" w:hAnsi="Courier New"/>
          <w:sz w:val="15"/>
          <w:szCs w:val="15"/>
          <w:color w:val="auto"/>
        </w:rPr>
        <w:t>48</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9.07. COMPENSATION AND INDEMNITY</w:t>
      </w:r>
      <w:r>
        <w:rPr>
          <w:sz w:val="20"/>
          <w:szCs w:val="20"/>
          <w:color w:val="auto"/>
        </w:rPr>
        <w:tab/>
      </w:r>
      <w:r>
        <w:rPr>
          <w:rFonts w:ascii="Courier New" w:cs="Courier New" w:eastAsia="Courier New" w:hAnsi="Courier New"/>
          <w:sz w:val="15"/>
          <w:szCs w:val="15"/>
          <w:color w:val="auto"/>
        </w:rPr>
        <w:t>48</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9.08. REPLACEMENT OF TRUSTEE</w:t>
      </w:r>
      <w:r>
        <w:rPr>
          <w:sz w:val="20"/>
          <w:szCs w:val="20"/>
          <w:color w:val="auto"/>
        </w:rPr>
        <w:tab/>
      </w:r>
      <w:r>
        <w:rPr>
          <w:rFonts w:ascii="Courier New" w:cs="Courier New" w:eastAsia="Courier New" w:hAnsi="Courier New"/>
          <w:sz w:val="15"/>
          <w:szCs w:val="15"/>
          <w:color w:val="auto"/>
        </w:rPr>
        <w:t>49</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9.09. SUCCESSOR TRUSTEE BY MERGER, ETC</w:t>
      </w:r>
      <w:r>
        <w:rPr>
          <w:sz w:val="20"/>
          <w:szCs w:val="20"/>
          <w:color w:val="auto"/>
        </w:rPr>
        <w:tab/>
      </w:r>
      <w:r>
        <w:rPr>
          <w:rFonts w:ascii="Courier New" w:cs="Courier New" w:eastAsia="Courier New" w:hAnsi="Courier New"/>
          <w:sz w:val="15"/>
          <w:szCs w:val="15"/>
          <w:color w:val="auto"/>
        </w:rPr>
        <w:t>50</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9.10. ELIGIBILITY; DISQUALIFICATION</w:t>
      </w:r>
      <w:r>
        <w:rPr>
          <w:sz w:val="20"/>
          <w:szCs w:val="20"/>
          <w:color w:val="auto"/>
        </w:rPr>
        <w:tab/>
      </w:r>
      <w:r>
        <w:rPr>
          <w:rFonts w:ascii="Courier New" w:cs="Courier New" w:eastAsia="Courier New" w:hAnsi="Courier New"/>
          <w:sz w:val="15"/>
          <w:szCs w:val="15"/>
          <w:color w:val="auto"/>
        </w:rPr>
        <w:t>50</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9.11. PREFERENTIAL COLLECTION OF CLAIMS AGAINST COMPANY</w:t>
      </w:r>
      <w:r>
        <w:rPr>
          <w:sz w:val="20"/>
          <w:szCs w:val="20"/>
          <w:color w:val="auto"/>
        </w:rPr>
        <w:tab/>
      </w:r>
      <w:r>
        <w:rPr>
          <w:rFonts w:ascii="Courier New" w:cs="Courier New" w:eastAsia="Courier New" w:hAnsi="Courier New"/>
          <w:sz w:val="15"/>
          <w:szCs w:val="15"/>
          <w:color w:val="auto"/>
        </w:rPr>
        <w:t>50</w:t>
      </w:r>
    </w:p>
    <w:p>
      <w:pPr>
        <w:spacing w:after="0" w:line="185"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5"/>
          <w:szCs w:val="15"/>
          <w:color w:val="auto"/>
        </w:rPr>
        <w:t>ARTICLE X DISCHARGE OF INDENTURE</w:t>
      </w:r>
      <w:r>
        <w:rPr>
          <w:sz w:val="20"/>
          <w:szCs w:val="20"/>
          <w:color w:val="auto"/>
        </w:rPr>
        <w:tab/>
      </w:r>
      <w:r>
        <w:rPr>
          <w:rFonts w:ascii="Courier New" w:cs="Courier New" w:eastAsia="Courier New" w:hAnsi="Courier New"/>
          <w:sz w:val="15"/>
          <w:szCs w:val="15"/>
          <w:color w:val="auto"/>
        </w:rPr>
        <w:t>50</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10.01. TERMINATION OF COMPANY'S OBLIGATIONS</w:t>
      </w:r>
      <w:r>
        <w:rPr>
          <w:sz w:val="20"/>
          <w:szCs w:val="20"/>
          <w:color w:val="auto"/>
        </w:rPr>
        <w:tab/>
      </w:r>
      <w:r>
        <w:rPr>
          <w:rFonts w:ascii="Courier New" w:cs="Courier New" w:eastAsia="Courier New" w:hAnsi="Courier New"/>
          <w:sz w:val="15"/>
          <w:szCs w:val="15"/>
          <w:color w:val="auto"/>
        </w:rPr>
        <w:t>50</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10.02. REPAYMENT TO COMPANY</w:t>
      </w:r>
      <w:r>
        <w:rPr>
          <w:sz w:val="20"/>
          <w:szCs w:val="20"/>
          <w:color w:val="auto"/>
        </w:rPr>
        <w:tab/>
      </w:r>
      <w:r>
        <w:rPr>
          <w:rFonts w:ascii="Courier New" w:cs="Courier New" w:eastAsia="Courier New" w:hAnsi="Courier New"/>
          <w:sz w:val="15"/>
          <w:szCs w:val="15"/>
          <w:color w:val="auto"/>
        </w:rPr>
        <w:t>50</w:t>
      </w:r>
    </w:p>
    <w:p>
      <w:pPr>
        <w:spacing w:after="0" w:line="185"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5"/>
          <w:szCs w:val="15"/>
          <w:color w:val="auto"/>
        </w:rPr>
        <w:t>ARTICLE XI AMENDMENTS, SUPPLEMENTS AND WAIVERS</w:t>
      </w:r>
      <w:r>
        <w:rPr>
          <w:sz w:val="20"/>
          <w:szCs w:val="20"/>
          <w:color w:val="auto"/>
        </w:rPr>
        <w:tab/>
      </w:r>
      <w:r>
        <w:rPr>
          <w:rFonts w:ascii="Courier New" w:cs="Courier New" w:eastAsia="Courier New" w:hAnsi="Courier New"/>
          <w:sz w:val="15"/>
          <w:szCs w:val="15"/>
          <w:color w:val="auto"/>
        </w:rPr>
        <w:t>50</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11.01. WITHOUT CONSENT OF HOLDERS</w:t>
      </w:r>
      <w:r>
        <w:rPr>
          <w:sz w:val="20"/>
          <w:szCs w:val="20"/>
          <w:color w:val="auto"/>
        </w:rPr>
        <w:tab/>
      </w:r>
      <w:r>
        <w:rPr>
          <w:rFonts w:ascii="Courier New" w:cs="Courier New" w:eastAsia="Courier New" w:hAnsi="Courier New"/>
          <w:sz w:val="15"/>
          <w:szCs w:val="15"/>
          <w:color w:val="auto"/>
        </w:rPr>
        <w:t>50</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11.02. WITH CONSENT OF HOLDERS</w:t>
      </w:r>
      <w:r>
        <w:rPr>
          <w:sz w:val="20"/>
          <w:szCs w:val="20"/>
          <w:color w:val="auto"/>
        </w:rPr>
        <w:tab/>
      </w:r>
      <w:r>
        <w:rPr>
          <w:rFonts w:ascii="Courier New" w:cs="Courier New" w:eastAsia="Courier New" w:hAnsi="Courier New"/>
          <w:sz w:val="15"/>
          <w:szCs w:val="15"/>
          <w:color w:val="auto"/>
        </w:rPr>
        <w:t>51</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11.03. COMPLIANCE WITH TRUST INDENTURE ACT</w:t>
      </w:r>
      <w:r>
        <w:rPr>
          <w:sz w:val="20"/>
          <w:szCs w:val="20"/>
          <w:color w:val="auto"/>
        </w:rPr>
        <w:tab/>
      </w:r>
      <w:r>
        <w:rPr>
          <w:rFonts w:ascii="Courier New" w:cs="Courier New" w:eastAsia="Courier New" w:hAnsi="Courier New"/>
          <w:sz w:val="15"/>
          <w:szCs w:val="15"/>
          <w:color w:val="auto"/>
        </w:rPr>
        <w:t>52</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11.04. REVOCATION AND EFFECT OF CONSENTS</w:t>
      </w:r>
      <w:r>
        <w:rPr>
          <w:sz w:val="20"/>
          <w:szCs w:val="20"/>
          <w:color w:val="auto"/>
        </w:rPr>
        <w:tab/>
      </w:r>
      <w:r>
        <w:rPr>
          <w:rFonts w:ascii="Courier New" w:cs="Courier New" w:eastAsia="Courier New" w:hAnsi="Courier New"/>
          <w:sz w:val="15"/>
          <w:szCs w:val="15"/>
          <w:color w:val="auto"/>
        </w:rPr>
        <w:t>52</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11.05. NOTATION ON OR EXCHANGE OF NOTES</w:t>
      </w:r>
      <w:r>
        <w:rPr>
          <w:sz w:val="20"/>
          <w:szCs w:val="20"/>
          <w:color w:val="auto"/>
        </w:rPr>
        <w:tab/>
      </w:r>
      <w:r>
        <w:rPr>
          <w:rFonts w:ascii="Courier New" w:cs="Courier New" w:eastAsia="Courier New" w:hAnsi="Courier New"/>
          <w:sz w:val="15"/>
          <w:szCs w:val="15"/>
          <w:color w:val="auto"/>
        </w:rPr>
        <w:t>52</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11.06. TRUSTEE PROTECTED</w:t>
      </w:r>
      <w:r>
        <w:rPr>
          <w:sz w:val="20"/>
          <w:szCs w:val="20"/>
          <w:color w:val="auto"/>
        </w:rPr>
        <w:tab/>
      </w:r>
      <w:r>
        <w:rPr>
          <w:rFonts w:ascii="Courier New" w:cs="Courier New" w:eastAsia="Courier New" w:hAnsi="Courier New"/>
          <w:sz w:val="15"/>
          <w:szCs w:val="15"/>
          <w:color w:val="auto"/>
        </w:rPr>
        <w:t>53</w:t>
      </w:r>
    </w:p>
    <w:p>
      <w:pPr>
        <w:spacing w:after="0" w:line="185"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5"/>
          <w:szCs w:val="15"/>
          <w:color w:val="auto"/>
        </w:rPr>
        <w:t>ARTICLE XII MISCELLANEOUS</w:t>
      </w:r>
      <w:r>
        <w:rPr>
          <w:sz w:val="20"/>
          <w:szCs w:val="20"/>
          <w:color w:val="auto"/>
        </w:rPr>
        <w:tab/>
      </w:r>
      <w:r>
        <w:rPr>
          <w:rFonts w:ascii="Courier New" w:cs="Courier New" w:eastAsia="Courier New" w:hAnsi="Courier New"/>
          <w:sz w:val="15"/>
          <w:szCs w:val="15"/>
          <w:color w:val="auto"/>
        </w:rPr>
        <w:t>53</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12.01. TRUST INDENTURE ACT CONTROLS</w:t>
      </w:r>
      <w:r>
        <w:rPr>
          <w:sz w:val="20"/>
          <w:szCs w:val="20"/>
          <w:color w:val="auto"/>
        </w:rPr>
        <w:tab/>
      </w:r>
      <w:r>
        <w:rPr>
          <w:rFonts w:ascii="Courier New" w:cs="Courier New" w:eastAsia="Courier New" w:hAnsi="Courier New"/>
          <w:sz w:val="15"/>
          <w:szCs w:val="15"/>
          <w:color w:val="auto"/>
        </w:rPr>
        <w:t>53</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12.02. NOTICES</w:t>
      </w:r>
      <w:r>
        <w:rPr>
          <w:sz w:val="20"/>
          <w:szCs w:val="20"/>
          <w:color w:val="auto"/>
        </w:rPr>
        <w:tab/>
      </w:r>
      <w:r>
        <w:rPr>
          <w:rFonts w:ascii="Courier New" w:cs="Courier New" w:eastAsia="Courier New" w:hAnsi="Courier New"/>
          <w:sz w:val="15"/>
          <w:szCs w:val="15"/>
          <w:color w:val="auto"/>
        </w:rPr>
        <w:t>53</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12.03. COMMUNICATION BY HOLDERS WITH OTHER HOLDERS</w:t>
      </w:r>
      <w:r>
        <w:rPr>
          <w:sz w:val="20"/>
          <w:szCs w:val="20"/>
          <w:color w:val="auto"/>
        </w:rPr>
        <w:tab/>
      </w:r>
      <w:r>
        <w:rPr>
          <w:rFonts w:ascii="Courier New" w:cs="Courier New" w:eastAsia="Courier New" w:hAnsi="Courier New"/>
          <w:sz w:val="15"/>
          <w:szCs w:val="15"/>
          <w:color w:val="auto"/>
        </w:rPr>
        <w:t>54</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12.04. CERTIFICATE AND OPINION AS TO CONDITIONS PRECEDENT</w:t>
      </w:r>
      <w:r>
        <w:rPr>
          <w:sz w:val="20"/>
          <w:szCs w:val="20"/>
          <w:color w:val="auto"/>
        </w:rPr>
        <w:tab/>
      </w:r>
      <w:r>
        <w:rPr>
          <w:rFonts w:ascii="Courier New" w:cs="Courier New" w:eastAsia="Courier New" w:hAnsi="Courier New"/>
          <w:sz w:val="15"/>
          <w:szCs w:val="15"/>
          <w:color w:val="auto"/>
        </w:rPr>
        <w:t>54</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12.05. STATEMENTS REQUIRED IN CERTIFICATE OR OPINION</w:t>
      </w:r>
      <w:r>
        <w:rPr>
          <w:sz w:val="20"/>
          <w:szCs w:val="20"/>
          <w:color w:val="auto"/>
        </w:rPr>
        <w:tab/>
      </w:r>
      <w:r>
        <w:rPr>
          <w:rFonts w:ascii="Courier New" w:cs="Courier New" w:eastAsia="Courier New" w:hAnsi="Courier New"/>
          <w:sz w:val="15"/>
          <w:szCs w:val="15"/>
          <w:color w:val="auto"/>
        </w:rPr>
        <w:t>54</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12.06. RULES BY TRUSTEE AND AGENTS</w:t>
      </w:r>
      <w:r>
        <w:rPr>
          <w:sz w:val="20"/>
          <w:szCs w:val="20"/>
          <w:color w:val="auto"/>
        </w:rPr>
        <w:tab/>
      </w:r>
      <w:r>
        <w:rPr>
          <w:rFonts w:ascii="Courier New" w:cs="Courier New" w:eastAsia="Courier New" w:hAnsi="Courier New"/>
          <w:sz w:val="15"/>
          <w:szCs w:val="15"/>
          <w:color w:val="auto"/>
        </w:rPr>
        <w:t>54</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12.07. LEGAL HOLIDAYS</w:t>
      </w:r>
      <w:r>
        <w:rPr>
          <w:sz w:val="20"/>
          <w:szCs w:val="20"/>
          <w:color w:val="auto"/>
        </w:rPr>
        <w:tab/>
      </w:r>
      <w:r>
        <w:rPr>
          <w:rFonts w:ascii="Courier New" w:cs="Courier New" w:eastAsia="Courier New" w:hAnsi="Courier New"/>
          <w:sz w:val="15"/>
          <w:szCs w:val="15"/>
          <w:color w:val="auto"/>
        </w:rPr>
        <w:t>54</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12.08. NO RECOURSE AGAINST OTHERS</w:t>
      </w:r>
      <w:r>
        <w:rPr>
          <w:sz w:val="20"/>
          <w:szCs w:val="20"/>
          <w:color w:val="auto"/>
        </w:rPr>
        <w:tab/>
      </w:r>
      <w:r>
        <w:rPr>
          <w:rFonts w:ascii="Courier New" w:cs="Courier New" w:eastAsia="Courier New" w:hAnsi="Courier New"/>
          <w:sz w:val="15"/>
          <w:szCs w:val="15"/>
          <w:color w:val="auto"/>
        </w:rPr>
        <w:t>55</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12.09. COUNTERPARTS AND FACSIMILE SIGNATURES</w:t>
      </w:r>
      <w:r>
        <w:rPr>
          <w:sz w:val="20"/>
          <w:szCs w:val="20"/>
          <w:color w:val="auto"/>
        </w:rPr>
        <w:tab/>
      </w:r>
      <w:r>
        <w:rPr>
          <w:rFonts w:ascii="Courier New" w:cs="Courier New" w:eastAsia="Courier New" w:hAnsi="Courier New"/>
          <w:sz w:val="15"/>
          <w:szCs w:val="15"/>
          <w:color w:val="auto"/>
        </w:rPr>
        <w:t>55</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12.10. VARIABLE PROVISIONS</w:t>
      </w:r>
      <w:r>
        <w:rPr>
          <w:sz w:val="20"/>
          <w:szCs w:val="20"/>
          <w:color w:val="auto"/>
        </w:rPr>
        <w:tab/>
      </w:r>
      <w:r>
        <w:rPr>
          <w:rFonts w:ascii="Courier New" w:cs="Courier New" w:eastAsia="Courier New" w:hAnsi="Courier New"/>
          <w:sz w:val="15"/>
          <w:szCs w:val="15"/>
          <w:color w:val="auto"/>
        </w:rPr>
        <w:t>55</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12.11. GOVERNING LAW, SUBMISSION TO JURISDICTION</w:t>
      </w:r>
      <w:r>
        <w:rPr>
          <w:sz w:val="20"/>
          <w:szCs w:val="20"/>
          <w:color w:val="auto"/>
        </w:rPr>
        <w:tab/>
      </w:r>
      <w:r>
        <w:rPr>
          <w:rFonts w:ascii="Courier New" w:cs="Courier New" w:eastAsia="Courier New" w:hAnsi="Courier New"/>
          <w:sz w:val="15"/>
          <w:szCs w:val="15"/>
          <w:color w:val="auto"/>
        </w:rPr>
        <w:t>56</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12.12. NO ADVERSE INTERPRETATION OF OTHER AGREEMENTS</w:t>
      </w:r>
      <w:r>
        <w:rPr>
          <w:sz w:val="20"/>
          <w:szCs w:val="20"/>
          <w:color w:val="auto"/>
        </w:rPr>
        <w:tab/>
      </w:r>
      <w:r>
        <w:rPr>
          <w:rFonts w:ascii="Courier New" w:cs="Courier New" w:eastAsia="Courier New" w:hAnsi="Courier New"/>
          <w:sz w:val="15"/>
          <w:szCs w:val="15"/>
          <w:color w:val="auto"/>
        </w:rPr>
        <w:t>56</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12.13. SUCCESSORS</w:t>
      </w:r>
      <w:r>
        <w:rPr>
          <w:sz w:val="20"/>
          <w:szCs w:val="20"/>
          <w:color w:val="auto"/>
        </w:rPr>
        <w:tab/>
      </w:r>
      <w:r>
        <w:rPr>
          <w:rFonts w:ascii="Courier New" w:cs="Courier New" w:eastAsia="Courier New" w:hAnsi="Courier New"/>
          <w:sz w:val="15"/>
          <w:szCs w:val="15"/>
          <w:color w:val="auto"/>
        </w:rPr>
        <w:t>57</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12.14. SEVERABILITY</w:t>
      </w:r>
      <w:r>
        <w:rPr>
          <w:sz w:val="20"/>
          <w:szCs w:val="20"/>
          <w:color w:val="auto"/>
        </w:rPr>
        <w:tab/>
      </w:r>
      <w:r>
        <w:rPr>
          <w:rFonts w:ascii="Courier New" w:cs="Courier New" w:eastAsia="Courier New" w:hAnsi="Courier New"/>
          <w:sz w:val="15"/>
          <w:szCs w:val="15"/>
          <w:color w:val="auto"/>
        </w:rPr>
        <w:t>57</w:t>
      </w:r>
    </w:p>
    <w:p>
      <w:pPr>
        <w:spacing w:after="0" w:line="8"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5"/>
          <w:szCs w:val="15"/>
          <w:color w:val="auto"/>
        </w:rPr>
        <w:t>SECTION 12.15. TABLE OF CONTENTS, HEADINGS, ETC</w:t>
      </w:r>
      <w:r>
        <w:rPr>
          <w:sz w:val="20"/>
          <w:szCs w:val="20"/>
          <w:color w:val="auto"/>
        </w:rPr>
        <w:tab/>
      </w:r>
      <w:r>
        <w:rPr>
          <w:rFonts w:ascii="Courier New" w:cs="Courier New" w:eastAsia="Courier New" w:hAnsi="Courier New"/>
          <w:sz w:val="15"/>
          <w:szCs w:val="15"/>
          <w:color w:val="auto"/>
        </w:rPr>
        <w:t>57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8"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5"/>
          <w:szCs w:val="15"/>
          <w:color w:val="auto"/>
        </w:rPr>
        <w:t>Exhibit A Form of Legends and Notes</w:t>
      </w:r>
      <w:r>
        <w:rPr>
          <w:sz w:val="20"/>
          <w:szCs w:val="20"/>
          <w:color w:val="auto"/>
        </w:rPr>
        <w:tab/>
      </w:r>
      <w:r>
        <w:rPr>
          <w:rFonts w:ascii="Courier New" w:cs="Courier New" w:eastAsia="Courier New" w:hAnsi="Courier New"/>
          <w:sz w:val="15"/>
          <w:szCs w:val="15"/>
          <w:color w:val="auto"/>
        </w:rPr>
        <w:t>A1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 Form of Transfer Certificate for Transfer From Rule 144A Global</w:t>
      </w:r>
    </w:p>
    <w:p>
      <w:pPr>
        <w:spacing w:after="0" w:line="8" w:lineRule="exact"/>
        <w:rPr>
          <w:sz w:val="20"/>
          <w:szCs w:val="20"/>
          <w:color w:val="auto"/>
        </w:rPr>
      </w:pPr>
    </w:p>
    <w:p>
      <w:pPr>
        <w:ind w:left="180"/>
        <w:spacing w:after="0"/>
        <w:tabs>
          <w:tab w:leader="dot" w:pos="7180" w:val="left"/>
        </w:tabs>
        <w:rPr>
          <w:sz w:val="20"/>
          <w:szCs w:val="20"/>
          <w:color w:val="auto"/>
        </w:rPr>
      </w:pPr>
      <w:r>
        <w:rPr>
          <w:rFonts w:ascii="Courier New" w:cs="Courier New" w:eastAsia="Courier New" w:hAnsi="Courier New"/>
          <w:sz w:val="15"/>
          <w:szCs w:val="15"/>
          <w:color w:val="auto"/>
        </w:rPr>
        <w:t>Note or Restricted Note to Regulation S Global Note</w:t>
      </w:r>
      <w:r>
        <w:rPr>
          <w:sz w:val="20"/>
          <w:szCs w:val="20"/>
          <w:color w:val="auto"/>
        </w:rPr>
        <w:tab/>
      </w:r>
      <w:r>
        <w:rPr>
          <w:rFonts w:ascii="Courier New" w:cs="Courier New" w:eastAsia="Courier New" w:hAnsi="Courier New"/>
          <w:sz w:val="15"/>
          <w:szCs w:val="15"/>
          <w:color w:val="auto"/>
        </w:rPr>
        <w:t>B1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C Form of Transfer Certificate for Transfer From Regulation S Global</w:t>
      </w:r>
    </w:p>
    <w:p>
      <w:pPr>
        <w:spacing w:after="0" w:line="8" w:lineRule="exact"/>
        <w:rPr>
          <w:sz w:val="20"/>
          <w:szCs w:val="20"/>
          <w:color w:val="auto"/>
        </w:rPr>
      </w:pPr>
    </w:p>
    <w:p>
      <w:pPr>
        <w:ind w:left="180"/>
        <w:spacing w:after="0"/>
        <w:tabs>
          <w:tab w:leader="dot" w:pos="7180" w:val="left"/>
        </w:tabs>
        <w:rPr>
          <w:sz w:val="20"/>
          <w:szCs w:val="20"/>
          <w:color w:val="auto"/>
        </w:rPr>
      </w:pPr>
      <w:r>
        <w:rPr>
          <w:rFonts w:ascii="Courier New" w:cs="Courier New" w:eastAsia="Courier New" w:hAnsi="Courier New"/>
          <w:sz w:val="15"/>
          <w:szCs w:val="15"/>
          <w:color w:val="auto"/>
        </w:rPr>
        <w:t>Note or Restricted Note to Rule 144A Global Note</w:t>
      </w:r>
      <w:r>
        <w:rPr>
          <w:sz w:val="20"/>
          <w:szCs w:val="20"/>
          <w:color w:val="auto"/>
        </w:rPr>
        <w:tab/>
      </w:r>
      <w:r>
        <w:rPr>
          <w:rFonts w:ascii="Courier New" w:cs="Courier New" w:eastAsia="Courier New" w:hAnsi="Courier New"/>
          <w:sz w:val="15"/>
          <w:szCs w:val="15"/>
          <w:color w:val="auto"/>
        </w:rPr>
        <w:t>C1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D Form of Transfer Certificate for Transfer from Global Note or</w:t>
      </w:r>
    </w:p>
    <w:p>
      <w:pPr>
        <w:spacing w:after="0" w:line="8" w:lineRule="exact"/>
        <w:rPr>
          <w:sz w:val="20"/>
          <w:szCs w:val="20"/>
          <w:color w:val="auto"/>
        </w:rPr>
      </w:pPr>
    </w:p>
    <w:p>
      <w:pPr>
        <w:ind w:left="180"/>
        <w:spacing w:after="0"/>
        <w:tabs>
          <w:tab w:leader="dot" w:pos="7180" w:val="left"/>
        </w:tabs>
        <w:rPr>
          <w:sz w:val="20"/>
          <w:szCs w:val="20"/>
          <w:color w:val="auto"/>
        </w:rPr>
      </w:pPr>
      <w:r>
        <w:rPr>
          <w:rFonts w:ascii="Courier New" w:cs="Courier New" w:eastAsia="Courier New" w:hAnsi="Courier New"/>
          <w:sz w:val="15"/>
          <w:szCs w:val="15"/>
          <w:color w:val="auto"/>
        </w:rPr>
        <w:t>Restricted Note to Restricted Note</w:t>
      </w:r>
      <w:r>
        <w:rPr>
          <w:sz w:val="20"/>
          <w:szCs w:val="20"/>
          <w:color w:val="auto"/>
        </w:rPr>
        <w:tab/>
      </w:r>
      <w:r>
        <w:rPr>
          <w:rFonts w:ascii="Courier New" w:cs="Courier New" w:eastAsia="Courier New" w:hAnsi="Courier New"/>
          <w:sz w:val="15"/>
          <w:szCs w:val="15"/>
          <w:color w:val="auto"/>
        </w:rPr>
        <w:t>D1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E Form of Letter to be Delivered by Institutional Accredited</w:t>
      </w:r>
    </w:p>
    <w:p>
      <w:pPr>
        <w:spacing w:after="0" w:line="8" w:lineRule="exact"/>
        <w:rPr>
          <w:sz w:val="20"/>
          <w:szCs w:val="20"/>
          <w:color w:val="auto"/>
        </w:rPr>
      </w:pPr>
    </w:p>
    <w:p>
      <w:pPr>
        <w:ind w:left="180"/>
        <w:spacing w:after="0"/>
        <w:tabs>
          <w:tab w:leader="dot" w:pos="7180" w:val="left"/>
        </w:tabs>
        <w:rPr>
          <w:sz w:val="20"/>
          <w:szCs w:val="20"/>
          <w:color w:val="auto"/>
        </w:rPr>
      </w:pPr>
      <w:r>
        <w:rPr>
          <w:rFonts w:ascii="Courier New" w:cs="Courier New" w:eastAsia="Courier New" w:hAnsi="Courier New"/>
          <w:sz w:val="15"/>
          <w:szCs w:val="15"/>
          <w:color w:val="auto"/>
        </w:rPr>
        <w:t>Investors</w:t>
      </w:r>
      <w:r>
        <w:rPr>
          <w:sz w:val="20"/>
          <w:szCs w:val="20"/>
          <w:color w:val="auto"/>
        </w:rPr>
        <w:tab/>
      </w:r>
      <w:r>
        <w:rPr>
          <w:rFonts w:ascii="Courier New" w:cs="Courier New" w:eastAsia="Courier New" w:hAnsi="Courier New"/>
          <w:sz w:val="15"/>
          <w:szCs w:val="15"/>
          <w:color w:val="auto"/>
        </w:rPr>
        <w:t>E1</w:t>
      </w:r>
    </w:p>
    <w:p>
      <w:pPr>
        <w:spacing w:after="0" w:line="200" w:lineRule="exact"/>
        <w:rPr>
          <w:sz w:val="20"/>
          <w:szCs w:val="20"/>
          <w:color w:val="auto"/>
        </w:rPr>
      </w:pP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95"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5</w:t>
      </w:r>
    </w:p>
    <w:p>
      <w:pPr>
        <w:spacing w:after="0" w:line="362" w:lineRule="exact"/>
        <w:rPr>
          <w:sz w:val="20"/>
          <w:szCs w:val="20"/>
          <w:color w:val="auto"/>
        </w:rPr>
      </w:pPr>
    </w:p>
    <w:p>
      <w:pPr>
        <w:ind w:left="820" w:right="3019" w:firstLine="830"/>
        <w:spacing w:after="0" w:line="251" w:lineRule="auto"/>
        <w:rPr>
          <w:sz w:val="20"/>
          <w:szCs w:val="20"/>
          <w:color w:val="auto"/>
        </w:rPr>
      </w:pPr>
      <w:r>
        <w:rPr>
          <w:rFonts w:ascii="Courier New" w:cs="Courier New" w:eastAsia="Courier New" w:hAnsi="Courier New"/>
          <w:sz w:val="15"/>
          <w:szCs w:val="15"/>
          <w:color w:val="auto"/>
        </w:rPr>
        <w:t>INDENTURE, dated as of June 20, 2000, between Akamai Technologies, Inc., a Delaware corporation (the "COMPANY"), and State Street Bank and Trust Company, a Massachusetts Trust Company, as trustee (the "TRUSTEE").</w:t>
      </w:r>
    </w:p>
    <w:p>
      <w:pPr>
        <w:spacing w:after="0" w:line="354"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Each party agrees as follows for the benefit of the other party and for the equal and ratable benefit of the Holders (as defined in Section 1.01 hereof) of the Company's 5-1/2% Convertible Subordinated Notes due 2007 (the "NOTES"):</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I</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DEFINITIONS; TRUST INDENTURE ACT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1.01 DEFINITIONS.</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352" w:lineRule="exact"/>
        <w:rPr>
          <w:sz w:val="20"/>
          <w:szCs w:val="20"/>
          <w:color w:val="auto"/>
        </w:rPr>
      </w:pPr>
    </w:p>
    <w:p>
      <w:pPr>
        <w:ind w:left="820" w:right="2839" w:firstLine="830"/>
        <w:spacing w:after="0" w:line="253" w:lineRule="auto"/>
        <w:rPr>
          <w:sz w:val="20"/>
          <w:szCs w:val="20"/>
          <w:color w:val="auto"/>
        </w:rPr>
      </w:pPr>
      <w:r>
        <w:rPr>
          <w:rFonts w:ascii="Courier New" w:cs="Courier New" w:eastAsia="Courier New" w:hAnsi="Courier New"/>
          <w:sz w:val="15"/>
          <w:szCs w:val="15"/>
          <w:color w:val="auto"/>
        </w:rPr>
        <w:t>"AGENT" means any Registrar, Paying Agent, New York Presenting Agent or Conversion Agent.</w:t>
      </w:r>
    </w:p>
    <w:p>
      <w:pPr>
        <w:spacing w:after="0" w:line="352" w:lineRule="exact"/>
        <w:rPr>
          <w:sz w:val="20"/>
          <w:szCs w:val="20"/>
          <w:color w:val="auto"/>
        </w:rPr>
      </w:pPr>
    </w:p>
    <w:p>
      <w:pPr>
        <w:ind w:left="820" w:right="3399" w:firstLine="830"/>
        <w:spacing w:after="0" w:line="253" w:lineRule="auto"/>
        <w:rPr>
          <w:sz w:val="20"/>
          <w:szCs w:val="20"/>
          <w:color w:val="auto"/>
        </w:rPr>
      </w:pPr>
      <w:r>
        <w:rPr>
          <w:rFonts w:ascii="Courier New" w:cs="Courier New" w:eastAsia="Courier New" w:hAnsi="Courier New"/>
          <w:sz w:val="15"/>
          <w:szCs w:val="15"/>
          <w:color w:val="auto"/>
        </w:rPr>
        <w:t>"BOARD OF DIRECTORS" means the Board of Directors of the Company or any authorized committee of the Board of Directors.</w:t>
      </w:r>
    </w:p>
    <w:p>
      <w:pPr>
        <w:spacing w:after="0" w:line="352" w:lineRule="exact"/>
        <w:rPr>
          <w:sz w:val="20"/>
          <w:szCs w:val="20"/>
          <w:color w:val="auto"/>
        </w:rPr>
      </w:pPr>
    </w:p>
    <w:p>
      <w:pPr>
        <w:ind w:left="820" w:right="3019" w:firstLine="830"/>
        <w:spacing w:after="0" w:line="253" w:lineRule="auto"/>
        <w:rPr>
          <w:sz w:val="20"/>
          <w:szCs w:val="20"/>
          <w:color w:val="auto"/>
        </w:rPr>
      </w:pPr>
      <w:r>
        <w:rPr>
          <w:rFonts w:ascii="Courier New" w:cs="Courier New" w:eastAsia="Courier New" w:hAnsi="Courier New"/>
          <w:sz w:val="15"/>
          <w:szCs w:val="15"/>
          <w:color w:val="auto"/>
        </w:rPr>
        <w:t>"BOARD RESOLUTION" means a duly authorized resolution of the Board of Directors.</w:t>
      </w:r>
    </w:p>
    <w:p>
      <w:pPr>
        <w:spacing w:after="0" w:line="35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"BUSINESS DAY" means any day that is not a Legal Holiday.</w:t>
      </w:r>
    </w:p>
    <w:p>
      <w:pPr>
        <w:spacing w:after="0" w:line="362" w:lineRule="exact"/>
        <w:rPr>
          <w:sz w:val="20"/>
          <w:szCs w:val="20"/>
          <w:color w:val="auto"/>
        </w:rPr>
      </w:pPr>
    </w:p>
    <w:p>
      <w:pPr>
        <w:ind w:left="820" w:right="2939" w:firstLine="830"/>
        <w:spacing w:after="0" w:line="252" w:lineRule="auto"/>
        <w:rPr>
          <w:sz w:val="20"/>
          <w:szCs w:val="20"/>
          <w:color w:val="auto"/>
        </w:rPr>
      </w:pPr>
      <w:r>
        <w:rPr>
          <w:rFonts w:ascii="Courier New" w:cs="Courier New" w:eastAsia="Courier New" w:hAnsi="Courier New"/>
          <w:sz w:val="15"/>
          <w:szCs w:val="15"/>
          <w:color w:val="auto"/>
        </w:rPr>
        <w:t>"CAPITAL STOCK" means any and all shares, interests, participations, rights or other equivalents, however designated, of corporate stock, including, without limitation, partnership interests.</w:t>
      </w:r>
    </w:p>
    <w:p>
      <w:pPr>
        <w:spacing w:after="0" w:line="352" w:lineRule="exact"/>
        <w:rPr>
          <w:sz w:val="20"/>
          <w:szCs w:val="20"/>
          <w:color w:val="auto"/>
        </w:rPr>
      </w:pPr>
    </w:p>
    <w:p>
      <w:pPr>
        <w:ind w:left="820" w:right="3019" w:firstLine="830"/>
        <w:spacing w:after="0" w:line="251" w:lineRule="auto"/>
        <w:rPr>
          <w:sz w:val="20"/>
          <w:szCs w:val="20"/>
          <w:color w:val="auto"/>
        </w:rPr>
      </w:pPr>
      <w:r>
        <w:rPr>
          <w:rFonts w:ascii="Courier New" w:cs="Courier New" w:eastAsia="Courier New" w:hAnsi="Courier New"/>
          <w:sz w:val="15"/>
          <w:szCs w:val="15"/>
          <w:color w:val="auto"/>
        </w:rPr>
        <w:t>"COMMON STOCK" means the common stock, par value $0.01 per share, of the Company as the same exists at the date of the execution of this Indenture or as such stock may be constituted from time to time.</w:t>
      </w:r>
    </w:p>
    <w:p>
      <w:pPr>
        <w:spacing w:after="0" w:line="176" w:lineRule="exact"/>
        <w:rPr>
          <w:sz w:val="20"/>
          <w:szCs w:val="20"/>
          <w:color w:val="auto"/>
        </w:rPr>
      </w:pPr>
    </w:p>
    <w:p>
      <w:pPr>
        <w:ind w:left="820" w:right="3219" w:firstLine="830"/>
        <w:spacing w:after="0" w:line="252" w:lineRule="auto"/>
        <w:rPr>
          <w:sz w:val="20"/>
          <w:szCs w:val="20"/>
          <w:color w:val="auto"/>
        </w:rPr>
      </w:pPr>
      <w:r>
        <w:rPr>
          <w:rFonts w:ascii="Courier New" w:cs="Courier New" w:eastAsia="Courier New" w:hAnsi="Courier New"/>
          <w:sz w:val="15"/>
          <w:szCs w:val="15"/>
          <w:color w:val="auto"/>
        </w:rPr>
        <w:t>"COMPANY" means the party named as such above until a successor replaces it in accordance with Article VII and thereafter means the successor.</w:t>
      </w:r>
    </w:p>
    <w:p>
      <w:pPr>
        <w:spacing w:after="0" w:line="352"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"DAILY MARKET PRICE" means the price of a share of Common Stock on the relevant date, determined (a) on the basis of the last reported sale price regular way of the Common Stock as reported on the Nasdaq Stock Market's National Market (the "NNM"), or if</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5"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6</w:t>
      </w:r>
    </w:p>
    <w:p>
      <w:pPr>
        <w:spacing w:after="0" w:line="8" w:lineRule="exact"/>
        <w:rPr>
          <w:sz w:val="20"/>
          <w:szCs w:val="20"/>
          <w:color w:val="auto"/>
        </w:rPr>
      </w:pPr>
    </w:p>
    <w:p>
      <w:pPr>
        <w:ind w:left="540" w:right="2939"/>
        <w:spacing w:after="0" w:line="250" w:lineRule="auto"/>
        <w:rPr>
          <w:sz w:val="20"/>
          <w:szCs w:val="20"/>
          <w:color w:val="auto"/>
        </w:rPr>
      </w:pPr>
      <w:r>
        <w:rPr>
          <w:rFonts w:ascii="Courier New" w:cs="Courier New" w:eastAsia="Courier New" w:hAnsi="Courier New"/>
          <w:sz w:val="15"/>
          <w:szCs w:val="15"/>
          <w:color w:val="auto"/>
        </w:rPr>
        <w:t>the Common Stock is not then listed on the NNM, as reported on such national securities exchange upon which the Common Stock is listed, or</w:t>
      </w:r>
    </w:p>
    <w:p>
      <w:pPr>
        <w:spacing w:after="0" w:line="1" w:lineRule="exact"/>
        <w:rPr>
          <w:sz w:val="20"/>
          <w:szCs w:val="20"/>
          <w:color w:val="auto"/>
        </w:rPr>
      </w:pPr>
    </w:p>
    <w:p>
      <w:pPr>
        <w:ind w:left="540" w:right="2839" w:firstLine="5"/>
        <w:spacing w:after="0" w:line="251" w:lineRule="auto"/>
        <w:tabs>
          <w:tab w:leader="none" w:pos="90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no such reported sale on the day in question, on the basis of the average of the closing bid and asked quotations regular way as so reported, or (c) if the Common Stock is not listed on the NNM or on any national securities exchange, on the basis of the average of the high bid and low asked quotations regular way on the day in question in the over-the-counter market as reported by the National Association of Securities Dealers Automated Quotation System, or if not so quoted, as reported by National Quotation Bureau, Incorporated, or a similar organization.</w:t>
      </w:r>
    </w:p>
    <w:p>
      <w:pPr>
        <w:spacing w:after="0" w:line="352" w:lineRule="exact"/>
        <w:rPr>
          <w:sz w:val="20"/>
          <w:szCs w:val="20"/>
          <w:color w:val="auto"/>
        </w:rPr>
      </w:pPr>
    </w:p>
    <w:p>
      <w:pPr>
        <w:ind w:left="540" w:right="2839" w:firstLine="830"/>
        <w:spacing w:after="0" w:line="253" w:lineRule="auto"/>
        <w:rPr>
          <w:sz w:val="20"/>
          <w:szCs w:val="20"/>
          <w:color w:val="auto"/>
        </w:rPr>
      </w:pPr>
      <w:r>
        <w:rPr>
          <w:rFonts w:ascii="Courier New" w:cs="Courier New" w:eastAsia="Courier New" w:hAnsi="Courier New"/>
          <w:sz w:val="15"/>
          <w:szCs w:val="15"/>
          <w:color w:val="auto"/>
        </w:rPr>
        <w:t>"DEFAULT" means any event that is, or with the passage of time or the giving of notice or both would be, an Event of Default.</w:t>
      </w:r>
    </w:p>
    <w:p>
      <w:pPr>
        <w:spacing w:after="0" w:line="352" w:lineRule="exact"/>
        <w:rPr>
          <w:sz w:val="20"/>
          <w:szCs w:val="20"/>
          <w:color w:val="auto"/>
        </w:rPr>
      </w:pPr>
    </w:p>
    <w:p>
      <w:pPr>
        <w:ind w:left="540" w:right="3299" w:firstLine="830"/>
        <w:spacing w:after="0" w:line="253" w:lineRule="auto"/>
        <w:rPr>
          <w:sz w:val="20"/>
          <w:szCs w:val="20"/>
          <w:color w:val="auto"/>
        </w:rPr>
      </w:pPr>
      <w:r>
        <w:rPr>
          <w:rFonts w:ascii="Courier New" w:cs="Courier New" w:eastAsia="Courier New" w:hAnsi="Courier New"/>
          <w:sz w:val="15"/>
          <w:szCs w:val="15"/>
          <w:color w:val="auto"/>
        </w:rPr>
        <w:t>"DEPOSITARY" shall mean The Depository Trust Company, its nominees and their respective successors.</w:t>
      </w:r>
    </w:p>
    <w:p>
      <w:pPr>
        <w:spacing w:after="0" w:line="352" w:lineRule="exact"/>
        <w:rPr>
          <w:sz w:val="20"/>
          <w:szCs w:val="20"/>
          <w:color w:val="auto"/>
        </w:rPr>
      </w:pPr>
    </w:p>
    <w:p>
      <w:pPr>
        <w:ind w:left="540" w:right="2839" w:firstLine="830"/>
        <w:spacing w:after="0" w:line="251" w:lineRule="auto"/>
        <w:rPr>
          <w:sz w:val="20"/>
          <w:szCs w:val="20"/>
          <w:color w:val="auto"/>
        </w:rPr>
      </w:pPr>
      <w:r>
        <w:rPr>
          <w:rFonts w:ascii="Courier New" w:cs="Courier New" w:eastAsia="Courier New" w:hAnsi="Courier New"/>
          <w:sz w:val="15"/>
          <w:szCs w:val="15"/>
          <w:color w:val="auto"/>
        </w:rPr>
        <w:t>"DESIGNATED SENIOR DEBT" means Senior Debt in which the instrument creating or evidencing the same or the assumption or guarantee thereof (or related agreements or documents to which the Company is a party) expressly provides that such Senior Debt shall be "Designated Senior Debt" for the purposes of the Indenture (provided that such instrument, agreement or other document may place limitations and conditions on the right of such Senior Debt to exercise the rights of Designated Senior Debt).</w:t>
      </w:r>
    </w:p>
    <w:p>
      <w:pPr>
        <w:spacing w:after="0" w:line="353" w:lineRule="exact"/>
        <w:rPr>
          <w:sz w:val="20"/>
          <w:szCs w:val="20"/>
          <w:color w:val="auto"/>
        </w:rPr>
      </w:pPr>
    </w:p>
    <w:p>
      <w:pPr>
        <w:ind w:left="540" w:right="3219" w:firstLine="830"/>
        <w:spacing w:after="0" w:line="251" w:lineRule="auto"/>
        <w:rPr>
          <w:sz w:val="20"/>
          <w:szCs w:val="20"/>
          <w:color w:val="auto"/>
        </w:rPr>
      </w:pPr>
      <w:r>
        <w:rPr>
          <w:rFonts w:ascii="Courier New" w:cs="Courier New" w:eastAsia="Courier New" w:hAnsi="Courier New"/>
          <w:sz w:val="15"/>
          <w:szCs w:val="15"/>
          <w:color w:val="auto"/>
        </w:rPr>
        <w:t>"EQUITY INTERESTS" means Capital Stock and all warrants, options or other rights to acquire Capital Stock, but excluding any Indebtedness that is convertible into, or exchangeable for, Capital Stock.</w:t>
      </w:r>
    </w:p>
    <w:p>
      <w:pPr>
        <w:spacing w:after="0" w:line="354" w:lineRule="exact"/>
        <w:rPr>
          <w:sz w:val="20"/>
          <w:szCs w:val="20"/>
          <w:color w:val="auto"/>
        </w:rPr>
      </w:pPr>
    </w:p>
    <w:p>
      <w:pPr>
        <w:jc w:val="both"/>
        <w:ind w:left="540" w:right="2839" w:firstLine="830"/>
        <w:spacing w:after="0" w:line="251" w:lineRule="auto"/>
        <w:rPr>
          <w:sz w:val="20"/>
          <w:szCs w:val="20"/>
          <w:color w:val="auto"/>
        </w:rPr>
      </w:pPr>
      <w:r>
        <w:rPr>
          <w:rFonts w:ascii="Courier New" w:cs="Courier New" w:eastAsia="Courier New" w:hAnsi="Courier New"/>
          <w:sz w:val="15"/>
          <w:szCs w:val="15"/>
          <w:color w:val="auto"/>
        </w:rPr>
        <w:t>"EXCESS PAYMENT" means the excess of (A) the aggregate of the cash and value of other consideration paid by the Company or any of its Subsidiaries with respect to shares of the Company acquired in a tender offer or other negotiated transaction over (B) the market value of such acquired shares after giving effect to the completion of a tender offer or other negotiated transaction.</w:t>
      </w:r>
    </w:p>
    <w:p>
      <w:pPr>
        <w:spacing w:after="0" w:line="353"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"EXCHANGE ACT" means the Securities Exchange Act of 1934, as</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amended.</w:t>
      </w:r>
    </w:p>
    <w:p>
      <w:pPr>
        <w:spacing w:after="0" w:line="362" w:lineRule="exact"/>
        <w:rPr>
          <w:sz w:val="20"/>
          <w:szCs w:val="20"/>
          <w:color w:val="auto"/>
        </w:rPr>
      </w:pPr>
    </w:p>
    <w:p>
      <w:pPr>
        <w:ind w:left="540" w:right="2839" w:firstLine="830"/>
        <w:spacing w:after="0" w:line="251" w:lineRule="auto"/>
        <w:rPr>
          <w:sz w:val="20"/>
          <w:szCs w:val="20"/>
          <w:color w:val="auto"/>
        </w:rPr>
      </w:pPr>
      <w:r>
        <w:rPr>
          <w:rFonts w:ascii="Courier New" w:cs="Courier New" w:eastAsia="Courier New" w:hAnsi="Courier New"/>
          <w:sz w:val="15"/>
          <w:szCs w:val="15"/>
          <w:color w:val="auto"/>
        </w:rPr>
        <w:t>"EXCHANGE RATE CONTRACT" means, with respect to any Person, any currency swap agreements, forward exchange rate agreements, foreign currency futures or options, exchange rate collar agreements, exchange rate insurance and other agreements or arrangements, or combination thereof, the principal purpose of which is to provide protection against fluctuations in currency exchange rates. An Exchange Rate Contract may also include an Interest Rate Agreement.</w:t>
      </w:r>
    </w:p>
    <w:p>
      <w:pPr>
        <w:spacing w:after="0" w:line="353" w:lineRule="exact"/>
        <w:rPr>
          <w:sz w:val="20"/>
          <w:szCs w:val="20"/>
          <w:color w:val="auto"/>
        </w:rPr>
      </w:pPr>
    </w:p>
    <w:p>
      <w:pPr>
        <w:ind w:left="540" w:right="2939" w:firstLine="830"/>
        <w:spacing w:after="0" w:line="250" w:lineRule="auto"/>
        <w:rPr>
          <w:sz w:val="20"/>
          <w:szCs w:val="20"/>
          <w:color w:val="auto"/>
        </w:rPr>
      </w:pPr>
      <w:r>
        <w:rPr>
          <w:rFonts w:ascii="Courier New" w:cs="Courier New" w:eastAsia="Courier New" w:hAnsi="Courier New"/>
          <w:sz w:val="15"/>
          <w:szCs w:val="15"/>
          <w:color w:val="auto"/>
        </w:rPr>
        <w:t>"FUNDAMENTAL CHANGE" means the occurrence of any transaction or event in connection with which all or substantially all of the Common Stock shall be exchanged for, converted into, acquired for or constitute in all material respects solely the right to receive consideration, whether by means of an exchange offer, liquidation, tender offer, consolidation, merger, combination, reclassification, recapitalization or otherwise, which is not all or substantially all common stock that is, or upon issuance will be, (i) listed on a United States national securities exchange, or (ii) approved for quotation on the NASDAQ</w:t>
      </w:r>
    </w:p>
    <w:p>
      <w:pPr>
        <w:spacing w:after="0" w:line="18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39"/>
          </w:cols>
          <w:pgMar w:left="520" w:top="295"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7</w:t>
      </w:r>
    </w:p>
    <w:p>
      <w:pPr>
        <w:spacing w:after="0" w:line="185" w:lineRule="exact"/>
        <w:rPr>
          <w:sz w:val="20"/>
          <w:szCs w:val="20"/>
          <w:color w:val="auto"/>
        </w:rPr>
      </w:pPr>
    </w:p>
    <w:p>
      <w:pPr>
        <w:ind w:left="540" w:right="3479"/>
        <w:spacing w:after="0" w:line="253" w:lineRule="auto"/>
        <w:rPr>
          <w:sz w:val="20"/>
          <w:szCs w:val="20"/>
          <w:color w:val="auto"/>
        </w:rPr>
      </w:pPr>
      <w:r>
        <w:rPr>
          <w:rFonts w:ascii="Courier New" w:cs="Courier New" w:eastAsia="Courier New" w:hAnsi="Courier New"/>
          <w:sz w:val="15"/>
          <w:szCs w:val="15"/>
          <w:color w:val="auto"/>
        </w:rPr>
        <w:t>National Market or any similar United States system of automated dissemination of quotations of securities prices.</w:t>
      </w:r>
    </w:p>
    <w:p>
      <w:pPr>
        <w:spacing w:after="0" w:line="352"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"FUNDAMENTAL CHANGE OFFER" means a Purchase Offer.</w:t>
      </w:r>
    </w:p>
    <w:p>
      <w:pPr>
        <w:spacing w:after="0" w:line="362" w:lineRule="exact"/>
        <w:rPr>
          <w:sz w:val="20"/>
          <w:szCs w:val="20"/>
          <w:color w:val="auto"/>
        </w:rPr>
      </w:pPr>
    </w:p>
    <w:p>
      <w:pPr>
        <w:ind w:left="540" w:right="2839" w:firstLine="830"/>
        <w:spacing w:after="0" w:line="251" w:lineRule="auto"/>
        <w:rPr>
          <w:sz w:val="20"/>
          <w:szCs w:val="20"/>
          <w:color w:val="auto"/>
        </w:rPr>
      </w:pPr>
      <w:r>
        <w:rPr>
          <w:rFonts w:ascii="Courier New" w:cs="Courier New" w:eastAsia="Courier New" w:hAnsi="Courier New"/>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which are in effect on the Issuance Date and are applied on a consistent basis.</w:t>
      </w:r>
    </w:p>
    <w:p>
      <w:pPr>
        <w:spacing w:after="0" w:line="353" w:lineRule="exact"/>
        <w:rPr>
          <w:sz w:val="20"/>
          <w:szCs w:val="20"/>
          <w:color w:val="auto"/>
        </w:rPr>
      </w:pPr>
    </w:p>
    <w:p>
      <w:pPr>
        <w:ind w:left="540" w:right="3019" w:firstLine="830"/>
        <w:spacing w:after="0" w:line="251" w:lineRule="auto"/>
        <w:rPr>
          <w:sz w:val="20"/>
          <w:szCs w:val="20"/>
          <w:color w:val="auto"/>
        </w:rPr>
      </w:pPr>
      <w:r>
        <w:rPr>
          <w:rFonts w:ascii="Courier New" w:cs="Courier New" w:eastAsia="Courier New" w:hAnsi="Courier New"/>
          <w:sz w:val="15"/>
          <w:szCs w:val="15"/>
          <w:color w:val="auto"/>
        </w:rPr>
        <w:t>"GUARANTEE" means a guarantee, other than by endorsement of negotiable instruments for collection in the ordinary course of business, direct or indirect, in any manner, including, without limitation, letters of credit and reimbursement agreements in respect thereof, of all or any part of any Indebtedness.</w:t>
      </w:r>
    </w:p>
    <w:p>
      <w:pPr>
        <w:spacing w:after="0" w:line="354" w:lineRule="exact"/>
        <w:rPr>
          <w:sz w:val="20"/>
          <w:szCs w:val="20"/>
          <w:color w:val="auto"/>
        </w:rPr>
      </w:pPr>
    </w:p>
    <w:p>
      <w:pPr>
        <w:ind w:left="540" w:right="2939" w:firstLine="830"/>
        <w:spacing w:after="0" w:line="253" w:lineRule="auto"/>
        <w:rPr>
          <w:sz w:val="20"/>
          <w:szCs w:val="20"/>
          <w:color w:val="auto"/>
        </w:rPr>
      </w:pPr>
      <w:r>
        <w:rPr>
          <w:rFonts w:ascii="Courier New" w:cs="Courier New" w:eastAsia="Courier New" w:hAnsi="Courier New"/>
          <w:sz w:val="15"/>
          <w:szCs w:val="15"/>
          <w:color w:val="auto"/>
        </w:rPr>
        <w:t>"HOLDER" means a Person in whose name a Note is registered in the register referred to in Section 2.03.</w:t>
      </w:r>
    </w:p>
    <w:p>
      <w:pPr>
        <w:spacing w:after="0" w:line="352"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"INDEBTEDNESS" means, with respect to any Person, any indebtedness of such Person, whether or not contingent, in respect of borrowed money or evidenced by bonds, notes, debentures or similar instruments or letters of credit, or reimbursement agreements in respect thereof, or representing the balance deferred and unpaid of the purchase price of any property (which purchase price is due more than six months after the placing into service or delivery of such property) including pursuant to capital leases and sale-and-leaseback transactions, or representing any hedging obligations under an Exchange Rate Contract or an Interest Rate Agreement, except any such balance that constitutes an accrued expense or trade payable, if and to the extent any of the foregoing indebtedness, other than obligations under an Exchange Rate Contract or an Interest Rate Agreement, would appear as a liability upon a balance sheet of such Person prepared in accordance with GAAP, and also includes, to the extent not otherwise included, the Guarantee of items which would be included within this definition if incurred directly by such Person. The amount of any Indebtedness outstanding as of any date shall be the accreted value thereof, in the case of any Indebtedness issued with original issue discount. Indebtedness shall not include liabilities for taxes of any kind.</w:t>
      </w:r>
    </w:p>
    <w:p>
      <w:pPr>
        <w:spacing w:after="0" w:line="200" w:lineRule="exact"/>
        <w:rPr>
          <w:sz w:val="20"/>
          <w:szCs w:val="20"/>
          <w:color w:val="auto"/>
        </w:rPr>
      </w:pPr>
    </w:p>
    <w:p>
      <w:pPr>
        <w:spacing w:after="0" w:line="341"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"INDENTURE" means this Indenture, as amended from time to</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time.</w:t>
      </w:r>
    </w:p>
    <w:p>
      <w:pPr>
        <w:spacing w:after="0" w:line="362" w:lineRule="exact"/>
        <w:rPr>
          <w:sz w:val="20"/>
          <w:szCs w:val="20"/>
          <w:color w:val="auto"/>
        </w:rPr>
      </w:pPr>
    </w:p>
    <w:p>
      <w:pPr>
        <w:ind w:left="540" w:right="3299" w:firstLine="830"/>
        <w:spacing w:after="0" w:line="252" w:lineRule="auto"/>
        <w:rPr>
          <w:sz w:val="20"/>
          <w:szCs w:val="20"/>
          <w:color w:val="auto"/>
        </w:rPr>
      </w:pPr>
      <w:r>
        <w:rPr>
          <w:rFonts w:ascii="Courier New" w:cs="Courier New" w:eastAsia="Courier New" w:hAnsi="Courier New"/>
          <w:sz w:val="15"/>
          <w:szCs w:val="15"/>
          <w:color w:val="auto"/>
        </w:rPr>
        <w:t>"INITIAL PURCHASERS" means Donaldson, Lufkin &amp; Jenrette Securities Corporation, Morgan Stanley &amp; Co. Incorporated, Salomon Smith Barney Inc. and Thomas Weisel Partners LLC.</w:t>
      </w:r>
    </w:p>
    <w:p>
      <w:pPr>
        <w:spacing w:after="0" w:line="352" w:lineRule="exact"/>
        <w:rPr>
          <w:sz w:val="20"/>
          <w:szCs w:val="20"/>
          <w:color w:val="auto"/>
        </w:rPr>
      </w:pPr>
    </w:p>
    <w:p>
      <w:pPr>
        <w:ind w:left="540" w:right="2839" w:firstLine="830"/>
        <w:spacing w:after="0" w:line="251" w:lineRule="auto"/>
        <w:rPr>
          <w:sz w:val="20"/>
          <w:szCs w:val="20"/>
          <w:color w:val="auto"/>
        </w:rPr>
      </w:pPr>
      <w:r>
        <w:rPr>
          <w:rFonts w:ascii="Courier New" w:cs="Courier New" w:eastAsia="Courier New" w:hAnsi="Courier New"/>
          <w:sz w:val="15"/>
          <w:szCs w:val="15"/>
          <w:color w:val="auto"/>
        </w:rPr>
        <w:t>"INTEREST RATE AGREEMENT" means, with respect to any Person, any interest rate swap agreement, interest rate cap agreement, interest rate collar agreement or other similar agreement the principal purpose of which is to protect the party indicated therein against fluctuations in interest rates.</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39"/>
          </w:cols>
          <w:pgMar w:left="520" w:top="295"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8</w:t>
      </w:r>
    </w:p>
    <w:p>
      <w:pPr>
        <w:spacing w:after="0" w:line="8" w:lineRule="exact"/>
        <w:rPr>
          <w:sz w:val="20"/>
          <w:szCs w:val="20"/>
          <w:color w:val="auto"/>
        </w:rPr>
      </w:pPr>
    </w:p>
    <w:p>
      <w:pPr>
        <w:ind w:left="540" w:right="3119" w:firstLine="830"/>
        <w:spacing w:after="0" w:line="253" w:lineRule="auto"/>
        <w:rPr>
          <w:sz w:val="20"/>
          <w:szCs w:val="20"/>
          <w:color w:val="auto"/>
        </w:rPr>
      </w:pPr>
      <w:r>
        <w:rPr>
          <w:rFonts w:ascii="Courier New" w:cs="Courier New" w:eastAsia="Courier New" w:hAnsi="Courier New"/>
          <w:sz w:val="15"/>
          <w:szCs w:val="15"/>
          <w:color w:val="auto"/>
        </w:rPr>
        <w:t>"ISSUANCE DATE" means the date on which the Notes are first authenticated and issued.</w:t>
      </w:r>
    </w:p>
    <w:p>
      <w:pPr>
        <w:spacing w:after="0" w:line="352"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"NOTES" has the meaning set forth in the preamble hereto.</w:t>
      </w:r>
    </w:p>
    <w:p>
      <w:pPr>
        <w:spacing w:after="0" w:line="362" w:lineRule="exact"/>
        <w:rPr>
          <w:sz w:val="20"/>
          <w:szCs w:val="20"/>
          <w:color w:val="auto"/>
        </w:rPr>
      </w:pPr>
    </w:p>
    <w:p>
      <w:pPr>
        <w:jc w:val="both"/>
        <w:ind w:left="540" w:right="2839" w:firstLine="830"/>
        <w:spacing w:after="0" w:line="252" w:lineRule="auto"/>
        <w:rPr>
          <w:sz w:val="20"/>
          <w:szCs w:val="20"/>
          <w:color w:val="auto"/>
        </w:rPr>
      </w:pPr>
      <w:r>
        <w:rPr>
          <w:rFonts w:ascii="Courier New" w:cs="Courier New" w:eastAsia="Courier New" w:hAnsi="Courier New"/>
          <w:sz w:val="15"/>
          <w:szCs w:val="15"/>
          <w:color w:val="auto"/>
        </w:rPr>
        <w:t>"OBLIGATIONS" means any principal, interest, penalties, fees, indemnifications, reimbursements, damages and other liabilities payable under the documentation governing any Indebtedness.</w:t>
      </w:r>
    </w:p>
    <w:p>
      <w:pPr>
        <w:spacing w:after="0" w:line="352" w:lineRule="exact"/>
        <w:rPr>
          <w:sz w:val="20"/>
          <w:szCs w:val="20"/>
          <w:color w:val="auto"/>
        </w:rPr>
      </w:pPr>
    </w:p>
    <w:p>
      <w:pPr>
        <w:ind w:left="540" w:right="2939" w:firstLine="830"/>
        <w:spacing w:after="0" w:line="252" w:lineRule="auto"/>
        <w:rPr>
          <w:sz w:val="20"/>
          <w:szCs w:val="20"/>
          <w:color w:val="auto"/>
        </w:rPr>
      </w:pPr>
      <w:r>
        <w:rPr>
          <w:rFonts w:ascii="Courier New" w:cs="Courier New" w:eastAsia="Courier New" w:hAnsi="Courier New"/>
          <w:sz w:val="15"/>
          <w:szCs w:val="15"/>
          <w:color w:val="auto"/>
        </w:rPr>
        <w:t>"OFFICER" means the Chairman of the Board, the President, any Vice President, the Treasurer, the Secretary, any Assistant Treasurer or any Assistant Secretary of the Company.</w:t>
      </w:r>
    </w:p>
    <w:p>
      <w:pPr>
        <w:spacing w:after="0" w:line="352" w:lineRule="exact"/>
        <w:rPr>
          <w:sz w:val="20"/>
          <w:szCs w:val="20"/>
          <w:color w:val="auto"/>
        </w:rPr>
      </w:pPr>
    </w:p>
    <w:p>
      <w:pPr>
        <w:ind w:left="540" w:right="2939" w:firstLine="830"/>
        <w:spacing w:after="0" w:line="252" w:lineRule="auto"/>
        <w:rPr>
          <w:sz w:val="20"/>
          <w:szCs w:val="20"/>
          <w:color w:val="auto"/>
        </w:rPr>
      </w:pPr>
      <w:r>
        <w:rPr>
          <w:rFonts w:ascii="Courier New" w:cs="Courier New" w:eastAsia="Courier New" w:hAnsi="Courier New"/>
          <w:sz w:val="15"/>
          <w:szCs w:val="15"/>
          <w:color w:val="auto"/>
        </w:rPr>
        <w:t>"OFFICERS' CERTIFICATE" means a certificate of the Company signed by two Officers, one of whom must be the Chairman of the Board, the President, the Treasurer or a Vice President of the Company.</w:t>
      </w:r>
    </w:p>
    <w:p>
      <w:pPr>
        <w:spacing w:after="0" w:line="352" w:lineRule="exact"/>
        <w:rPr>
          <w:sz w:val="20"/>
          <w:szCs w:val="20"/>
          <w:color w:val="auto"/>
        </w:rPr>
      </w:pPr>
    </w:p>
    <w:p>
      <w:pPr>
        <w:ind w:left="540" w:right="2839" w:firstLine="830"/>
        <w:spacing w:after="0" w:line="252" w:lineRule="auto"/>
        <w:rPr>
          <w:sz w:val="20"/>
          <w:szCs w:val="20"/>
          <w:color w:val="auto"/>
        </w:rPr>
      </w:pPr>
      <w:r>
        <w:rPr>
          <w:rFonts w:ascii="Courier New" w:cs="Courier New" w:eastAsia="Courier New" w:hAnsi="Courier New"/>
          <w:sz w:val="15"/>
          <w:szCs w:val="15"/>
          <w:color w:val="auto"/>
        </w:rPr>
        <w:t>"OPINION OF COUNSEL" means a written opinion from legal counsel who is reasonably acceptable to the Trustee. The counsel may be an employee of or counsel to the Company or the Trustee.</w:t>
      </w:r>
    </w:p>
    <w:p>
      <w:pPr>
        <w:spacing w:after="0" w:line="352" w:lineRule="exact"/>
        <w:rPr>
          <w:sz w:val="20"/>
          <w:szCs w:val="20"/>
          <w:color w:val="auto"/>
        </w:rPr>
      </w:pPr>
    </w:p>
    <w:p>
      <w:pPr>
        <w:ind w:left="540" w:right="2839" w:firstLine="830"/>
        <w:spacing w:after="0" w:line="251" w:lineRule="auto"/>
        <w:rPr>
          <w:sz w:val="20"/>
          <w:szCs w:val="20"/>
          <w:color w:val="auto"/>
        </w:rPr>
      </w:pPr>
      <w:r>
        <w:rPr>
          <w:rFonts w:ascii="Courier New" w:cs="Courier New" w:eastAsia="Courier New" w:hAnsi="Courier New"/>
          <w:sz w:val="15"/>
          <w:szCs w:val="15"/>
          <w:color w:val="auto"/>
        </w:rPr>
        <w:t>"PERSON" means any individual, corporation, partnership, joint venture, association, joint stock company, trust, unincorporated organization, limited liability company or government or any agency or political subdivision thereof.</w:t>
      </w:r>
    </w:p>
    <w:p>
      <w:pPr>
        <w:spacing w:after="0" w:line="354" w:lineRule="exact"/>
        <w:rPr>
          <w:sz w:val="20"/>
          <w:szCs w:val="20"/>
          <w:color w:val="auto"/>
        </w:rPr>
      </w:pPr>
    </w:p>
    <w:p>
      <w:pPr>
        <w:ind w:left="540" w:right="2839" w:firstLine="830"/>
        <w:spacing w:after="0" w:line="253" w:lineRule="auto"/>
        <w:rPr>
          <w:sz w:val="20"/>
          <w:szCs w:val="20"/>
          <w:color w:val="auto"/>
        </w:rPr>
      </w:pPr>
      <w:r>
        <w:rPr>
          <w:rFonts w:ascii="Courier New" w:cs="Courier New" w:eastAsia="Courier New" w:hAnsi="Courier New"/>
          <w:sz w:val="15"/>
          <w:szCs w:val="15"/>
          <w:color w:val="auto"/>
        </w:rPr>
        <w:t>"PURCHASE AGREEMENT" means the Purchase Agreement, dated as of June 15, 2000, among the Company and the Initial Purchasers.</w:t>
      </w:r>
    </w:p>
    <w:p>
      <w:pPr>
        <w:spacing w:after="0" w:line="352" w:lineRule="exact"/>
        <w:rPr>
          <w:sz w:val="20"/>
          <w:szCs w:val="20"/>
          <w:color w:val="auto"/>
        </w:rPr>
      </w:pPr>
    </w:p>
    <w:p>
      <w:pPr>
        <w:ind w:left="540" w:right="2939" w:firstLine="830"/>
        <w:spacing w:after="0" w:line="253" w:lineRule="auto"/>
        <w:rPr>
          <w:sz w:val="20"/>
          <w:szCs w:val="20"/>
          <w:color w:val="auto"/>
        </w:rPr>
      </w:pPr>
      <w:r>
        <w:rPr>
          <w:rFonts w:ascii="Courier New" w:cs="Courier New" w:eastAsia="Courier New" w:hAnsi="Courier New"/>
          <w:sz w:val="15"/>
          <w:szCs w:val="15"/>
          <w:color w:val="auto"/>
        </w:rPr>
        <w:t>"REGISTRATION DEFAULT" has the meaning set forth in Section 2 of the Notes.</w:t>
      </w:r>
    </w:p>
    <w:p>
      <w:pPr>
        <w:spacing w:after="0" w:line="352" w:lineRule="exact"/>
        <w:rPr>
          <w:sz w:val="20"/>
          <w:szCs w:val="20"/>
          <w:color w:val="auto"/>
        </w:rPr>
      </w:pPr>
    </w:p>
    <w:p>
      <w:pPr>
        <w:ind w:left="540" w:right="2939" w:firstLine="830"/>
        <w:spacing w:after="0" w:line="251" w:lineRule="auto"/>
        <w:rPr>
          <w:sz w:val="20"/>
          <w:szCs w:val="20"/>
          <w:color w:val="auto"/>
        </w:rPr>
      </w:pPr>
      <w:r>
        <w:rPr>
          <w:rFonts w:ascii="Courier New" w:cs="Courier New" w:eastAsia="Courier New" w:hAnsi="Courier New"/>
          <w:sz w:val="15"/>
          <w:szCs w:val="15"/>
          <w:color w:val="auto"/>
        </w:rPr>
        <w:t>"REGISTRATION RIGHTS AGREEMENT" means the Registration Rights Agreement relating to the Notes and the underlying Common Stock, dated June 20, 2000, among the Company and the Initial Purchasers party thereto.</w:t>
      </w:r>
    </w:p>
    <w:p>
      <w:pPr>
        <w:spacing w:after="0" w:line="354"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"SEC" means the Securities and Exchange Commission.</w:t>
      </w:r>
    </w:p>
    <w:p>
      <w:pPr>
        <w:spacing w:after="0" w:line="362"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"SECURITIES ACT" means the Securities Act of 1933, as amended.</w:t>
      </w:r>
    </w:p>
    <w:p>
      <w:pPr>
        <w:spacing w:after="0" w:line="362"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"SENIOR DEBT" means the principal of, interest on and other amounts due on (i) Indebtedness of the Company, whether outstanding on the date hereof or thereafter created, incurred, assumed or guaranteed by the Company, for money borrowed from banks or other financial institutions; (ii) Indebtedness of the Company, whether outstanding on the date hereof or thereafter created, incurred, assumed or guaranteed by the Company; and (iii) Indebtedness of the Company under interest rate swaps, caps or similar hedging agreements and foreign exchange contracts, currency swaps or similar agreements: unless, in the instrument creating or evidencing or pursuant to which Indebtedness under (i) or (ii) is outstanding, it is expressly provided that such Indebtedness is not senior in right of payment to the Notes. Senior Debt includes, with respect to the obligations described in clauses (i) and (ii) above, interest accruing, pursuant to the terms of such Senior Debt, on or after the filing of</w:t>
      </w:r>
    </w:p>
    <w:p>
      <w:pPr>
        <w:spacing w:after="0" w:line="18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39"/>
          </w:cols>
          <w:pgMar w:left="520" w:top="295"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9</w:t>
      </w:r>
    </w:p>
    <w:p>
      <w:pPr>
        <w:spacing w:after="0" w:line="185" w:lineRule="exact"/>
        <w:rPr>
          <w:sz w:val="20"/>
          <w:szCs w:val="20"/>
          <w:color w:val="auto"/>
        </w:rPr>
      </w:pPr>
    </w:p>
    <w:p>
      <w:pPr>
        <w:ind w:left="820" w:right="2839"/>
        <w:spacing w:after="0" w:line="251" w:lineRule="auto"/>
        <w:rPr>
          <w:sz w:val="20"/>
          <w:szCs w:val="20"/>
          <w:color w:val="auto"/>
        </w:rPr>
      </w:pPr>
      <w:r>
        <w:rPr>
          <w:rFonts w:ascii="Courier New" w:cs="Courier New" w:eastAsia="Courier New" w:hAnsi="Courier New"/>
          <w:sz w:val="15"/>
          <w:szCs w:val="15"/>
          <w:color w:val="auto"/>
        </w:rPr>
        <w:t>any petition in bankruptcy or for reorganization relating to the Company, whether or not post-filing interest is allowed in such proceeding, at the rate specified in the instrument governing the relevant obligation. Notwithstanding anything to the contrary in the foregoing, Senior Debt shall not include: (a) Indebtedness of or amounts owed by the Company for compensation to employees, or for goods or materials purchased in the ordinary course of business, or for services; and (b) Indebtedness of the Company to any Subsidiary of the Company.</w:t>
      </w:r>
    </w:p>
    <w:p>
      <w:pPr>
        <w:spacing w:after="0" w:line="200" w:lineRule="exact"/>
        <w:rPr>
          <w:sz w:val="20"/>
          <w:szCs w:val="20"/>
          <w:color w:val="auto"/>
        </w:rPr>
      </w:pPr>
    </w:p>
    <w:p>
      <w:pPr>
        <w:spacing w:after="0" w:line="330" w:lineRule="exact"/>
        <w:rPr>
          <w:sz w:val="20"/>
          <w:szCs w:val="20"/>
          <w:color w:val="auto"/>
        </w:rPr>
      </w:pPr>
    </w:p>
    <w:p>
      <w:pPr>
        <w:ind w:left="820" w:right="3299" w:firstLine="830"/>
        <w:spacing w:after="0" w:line="253" w:lineRule="auto"/>
        <w:rPr>
          <w:sz w:val="20"/>
          <w:szCs w:val="20"/>
          <w:color w:val="auto"/>
        </w:rPr>
      </w:pPr>
      <w:r>
        <w:rPr>
          <w:rFonts w:ascii="Courier New" w:cs="Courier New" w:eastAsia="Courier New" w:hAnsi="Courier New"/>
          <w:sz w:val="15"/>
          <w:szCs w:val="15"/>
          <w:color w:val="auto"/>
        </w:rPr>
        <w:t>"SHELF REGISTRATION STATEMENT" shall have the meaning set forth in the Registration Rights Agreement.</w:t>
      </w:r>
    </w:p>
    <w:p>
      <w:pPr>
        <w:spacing w:after="0" w:line="352" w:lineRule="exact"/>
        <w:rPr>
          <w:sz w:val="20"/>
          <w:szCs w:val="20"/>
          <w:color w:val="auto"/>
        </w:rPr>
      </w:pPr>
    </w:p>
    <w:p>
      <w:pPr>
        <w:ind w:left="820" w:right="3019" w:firstLine="830"/>
        <w:spacing w:after="0" w:line="251" w:lineRule="auto"/>
        <w:rPr>
          <w:sz w:val="20"/>
          <w:szCs w:val="20"/>
          <w:color w:val="auto"/>
        </w:rPr>
      </w:pPr>
      <w:r>
        <w:rPr>
          <w:rFonts w:ascii="Courier New" w:cs="Courier New" w:eastAsia="Courier New" w:hAnsi="Courier New"/>
          <w:sz w:val="15"/>
          <w:szCs w:val="15"/>
          <w:color w:val="auto"/>
        </w:rPr>
        <w:t>"SIGNIFICANT SUBSIDIARY" means any Subsidiary of the Company which is a "significant subsidiary" as defined in Rule 1-02(w) of Regulation S-X under the Securities Act and the Exchange Act, as such Regulation is in effect on the date hereof.</w:t>
      </w:r>
    </w:p>
    <w:p>
      <w:pPr>
        <w:spacing w:after="0" w:line="354" w:lineRule="exact"/>
        <w:rPr>
          <w:sz w:val="20"/>
          <w:szCs w:val="20"/>
          <w:color w:val="auto"/>
        </w:rPr>
      </w:pPr>
    </w:p>
    <w:p>
      <w:pPr>
        <w:ind w:left="820" w:right="3019" w:firstLine="830"/>
        <w:spacing w:after="0" w:line="253" w:lineRule="auto"/>
        <w:rPr>
          <w:sz w:val="20"/>
          <w:szCs w:val="20"/>
          <w:color w:val="auto"/>
        </w:rPr>
      </w:pPr>
      <w:r>
        <w:rPr>
          <w:rFonts w:ascii="Courier New" w:cs="Courier New" w:eastAsia="Courier New" w:hAnsi="Courier New"/>
          <w:sz w:val="15"/>
          <w:szCs w:val="15"/>
          <w:color w:val="auto"/>
        </w:rPr>
        <w:t>"SPECIAL INTEREST" has the meaning set forth in Section 2 of the Notes.</w:t>
      </w:r>
    </w:p>
    <w:p>
      <w:pPr>
        <w:spacing w:after="0" w:line="352" w:lineRule="exact"/>
        <w:rPr>
          <w:sz w:val="20"/>
          <w:szCs w:val="20"/>
          <w:color w:val="auto"/>
        </w:rPr>
      </w:pPr>
    </w:p>
    <w:p>
      <w:pPr>
        <w:ind w:left="820" w:right="3019" w:firstLine="830"/>
        <w:spacing w:after="0" w:line="251" w:lineRule="auto"/>
        <w:rPr>
          <w:sz w:val="20"/>
          <w:szCs w:val="20"/>
          <w:color w:val="auto"/>
        </w:rPr>
      </w:pPr>
      <w:r>
        <w:rPr>
          <w:rFonts w:ascii="Courier New" w:cs="Courier New" w:eastAsia="Courier New" w:hAnsi="Courier New"/>
          <w:sz w:val="15"/>
          <w:szCs w:val="15"/>
          <w:color w:val="auto"/>
        </w:rPr>
        <w:t>"SUBSIDIARY"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any Person or one or more of the other Subsidiaries of that Person or a combination thereof.</w:t>
      </w:r>
    </w:p>
    <w:p>
      <w:pPr>
        <w:spacing w:after="0" w:line="353" w:lineRule="exact"/>
        <w:rPr>
          <w:sz w:val="20"/>
          <w:szCs w:val="20"/>
          <w:color w:val="auto"/>
        </w:rPr>
      </w:pPr>
    </w:p>
    <w:p>
      <w:pPr>
        <w:ind w:left="820" w:right="3119" w:firstLine="830"/>
        <w:spacing w:after="0" w:line="252" w:lineRule="auto"/>
        <w:rPr>
          <w:sz w:val="20"/>
          <w:szCs w:val="20"/>
          <w:color w:val="auto"/>
        </w:rPr>
      </w:pPr>
      <w:r>
        <w:rPr>
          <w:rFonts w:ascii="Courier New" w:cs="Courier New" w:eastAsia="Courier New" w:hAnsi="Courier New"/>
          <w:sz w:val="15"/>
          <w:szCs w:val="15"/>
          <w:color w:val="auto"/>
        </w:rPr>
        <w:t>"TIA" means the Trust Indenture Act of 1939 (15 U.S. Code Sections 77aaa-77bbbb) as in effect on the date of execution of this Indenture.</w:t>
      </w:r>
    </w:p>
    <w:p>
      <w:pPr>
        <w:spacing w:after="0" w:line="352" w:lineRule="exact"/>
        <w:rPr>
          <w:sz w:val="20"/>
          <w:szCs w:val="20"/>
          <w:color w:val="auto"/>
        </w:rPr>
      </w:pPr>
    </w:p>
    <w:p>
      <w:pPr>
        <w:ind w:left="820" w:right="3019" w:firstLine="830"/>
        <w:spacing w:after="0" w:line="252" w:lineRule="auto"/>
        <w:rPr>
          <w:sz w:val="20"/>
          <w:szCs w:val="20"/>
          <w:color w:val="auto"/>
        </w:rPr>
      </w:pPr>
      <w:r>
        <w:rPr>
          <w:rFonts w:ascii="Courier New" w:cs="Courier New" w:eastAsia="Courier New" w:hAnsi="Courier New"/>
          <w:sz w:val="15"/>
          <w:szCs w:val="15"/>
          <w:color w:val="auto"/>
        </w:rPr>
        <w:t>"TRUSTEE" means the party named as such above until a successor replaces it in accordance with the applicable provisions of this Indenture and thereafter means the successor.</w:t>
      </w:r>
    </w:p>
    <w:p>
      <w:pPr>
        <w:spacing w:after="0" w:line="352" w:lineRule="exact"/>
        <w:rPr>
          <w:sz w:val="20"/>
          <w:szCs w:val="20"/>
          <w:color w:val="auto"/>
        </w:rPr>
      </w:pPr>
    </w:p>
    <w:p>
      <w:pPr>
        <w:ind w:left="820" w:right="2939" w:firstLine="830"/>
        <w:spacing w:after="0" w:line="252" w:lineRule="auto"/>
        <w:rPr>
          <w:sz w:val="20"/>
          <w:szCs w:val="20"/>
          <w:color w:val="auto"/>
        </w:rPr>
      </w:pPr>
      <w:r>
        <w:rPr>
          <w:rFonts w:ascii="Courier New" w:cs="Courier New" w:eastAsia="Courier New" w:hAnsi="Courier New"/>
          <w:sz w:val="15"/>
          <w:szCs w:val="15"/>
          <w:color w:val="auto"/>
        </w:rPr>
        <w:t>"TRUST OFFICER" means any officer or assistant officer of the Trustee assigned by the Trustee to administer its corporate trust matters.</w:t>
      </w:r>
    </w:p>
    <w:p>
      <w:pPr>
        <w:spacing w:after="0" w:line="35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"WHOLLY-OWNED SUBSIDIARY" of any specified Person means a Subsidiary of such Person all of the outstanding Capital Stock or other ownership interests of which (other than directors' qualifying shares) shall at the time be owned by such Person or by one or more Wholly-Owned Subsidiaries of such Person and one or more Wholly-Owned Subsidiaries of such Person.</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5"/>
          <w:szCs w:val="15"/>
          <w:color w:val="auto"/>
        </w:rPr>
        <w:t>OTHER DEFINITIONS.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4420" w:type="dxa"/>
            <w:vAlign w:val="bottom"/>
          </w:tcPr>
          <w:p>
            <w:pPr>
              <w:ind w:left="3500"/>
              <w:spacing w:after="0"/>
              <w:rPr>
                <w:sz w:val="20"/>
                <w:szCs w:val="20"/>
                <w:color w:val="auto"/>
              </w:rPr>
            </w:pPr>
            <w:r>
              <w:rPr>
                <w:rFonts w:ascii="Courier New" w:cs="Courier New" w:eastAsia="Courier New" w:hAnsi="Courier New"/>
                <w:sz w:val="15"/>
                <w:szCs w:val="15"/>
                <w:color w:val="auto"/>
              </w:rPr>
              <w:t>DEFINED</w:t>
            </w:r>
          </w:p>
        </w:tc>
      </w:tr>
      <w:tr>
        <w:trPr>
          <w:trHeight w:val="177"/>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TERM</w:t>
            </w:r>
          </w:p>
        </w:tc>
        <w:tc>
          <w:tcPr>
            <w:tcW w:w="4420" w:type="dxa"/>
            <w:vAlign w:val="bottom"/>
          </w:tcPr>
          <w:p>
            <w:pPr>
              <w:ind w:left="3500"/>
              <w:spacing w:after="0"/>
              <w:rPr>
                <w:sz w:val="20"/>
                <w:szCs w:val="20"/>
                <w:color w:val="auto"/>
              </w:rPr>
            </w:pPr>
            <w:r>
              <w:rPr>
                <w:rFonts w:ascii="Courier New" w:cs="Courier New" w:eastAsia="Courier New" w:hAnsi="Courier New"/>
                <w:sz w:val="15"/>
                <w:szCs w:val="15"/>
                <w:color w:val="auto"/>
                <w:w w:val="99"/>
              </w:rPr>
              <w:t>IN SECTION</w:t>
            </w:r>
          </w:p>
        </w:tc>
      </w:tr>
      <w:tr>
        <w:trPr>
          <w:trHeight w:val="532"/>
        </w:trPr>
        <w:tc>
          <w:tcPr>
            <w:tcW w:w="3600" w:type="dxa"/>
            <w:vAlign w:val="bottom"/>
          </w:tcPr>
          <w:p>
            <w:pPr>
              <w:spacing w:after="0"/>
              <w:rPr>
                <w:sz w:val="20"/>
                <w:szCs w:val="20"/>
                <w:color w:val="auto"/>
              </w:rPr>
            </w:pPr>
            <w:r>
              <w:rPr>
                <w:rFonts w:ascii="Courier New" w:cs="Courier New" w:eastAsia="Courier New" w:hAnsi="Courier New"/>
                <w:sz w:val="10"/>
                <w:szCs w:val="10"/>
                <w:color w:val="auto"/>
                <w:w w:val="75"/>
              </w:rPr>
              <w:t>"AGENT MEMBER".................................................................</w:t>
            </w:r>
          </w:p>
        </w:tc>
        <w:tc>
          <w:tcPr>
            <w:tcW w:w="4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2.01</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0"/>
                <w:szCs w:val="10"/>
                <w:color w:val="auto"/>
                <w:w w:val="75"/>
              </w:rPr>
              <w:t>"BANKRUPTCY LAW"...............................................................</w:t>
            </w:r>
          </w:p>
        </w:tc>
        <w:tc>
          <w:tcPr>
            <w:tcW w:w="4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8.01</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0"/>
                <w:szCs w:val="10"/>
                <w:color w:val="auto"/>
                <w:w w:val="75"/>
              </w:rPr>
              <w:t>"CLEARSTREAM"..................................................................</w:t>
            </w:r>
          </w:p>
        </w:tc>
        <w:tc>
          <w:tcPr>
            <w:tcW w:w="4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2.01</w:t>
            </w:r>
          </w:p>
        </w:tc>
      </w:tr>
      <w:tr>
        <w:trPr>
          <w:trHeight w:val="532"/>
        </w:trPr>
        <w:tc>
          <w:tcPr>
            <w:tcW w:w="3600" w:type="dxa"/>
            <w:vAlign w:val="bottom"/>
          </w:tcPr>
          <w:p>
            <w:pPr>
              <w:spacing w:after="0"/>
              <w:rPr>
                <w:sz w:val="24"/>
                <w:szCs w:val="24"/>
                <w:color w:val="auto"/>
              </w:rPr>
            </w:pPr>
          </w:p>
        </w:tc>
        <w:tc>
          <w:tcPr>
            <w:tcW w:w="4420" w:type="dxa"/>
            <w:vAlign w:val="bottom"/>
          </w:tcPr>
          <w:p>
            <w:pPr>
              <w:jc w:val="right"/>
              <w:ind w:right="4264"/>
              <w:spacing w:after="0"/>
              <w:rPr>
                <w:sz w:val="20"/>
                <w:szCs w:val="20"/>
                <w:color w:val="auto"/>
              </w:rPr>
            </w:pPr>
            <w:r>
              <w:rPr>
                <w:rFonts w:ascii="Courier New" w:cs="Courier New" w:eastAsia="Courier New" w:hAnsi="Courier New"/>
                <w:sz w:val="14"/>
                <w:szCs w:val="14"/>
                <w:color w:val="auto"/>
                <w:w w:val="70"/>
              </w:rPr>
              <w:t>5</w:t>
            </w:r>
          </w:p>
        </w:tc>
      </w:tr>
    </w:tbl>
    <w:p>
      <w:pPr>
        <w:sectPr>
          <w:pgSz w:w="11900" w:h="16838" w:orient="portrait"/>
          <w:cols w:equalWidth="0" w:num="1">
            <w:col w:w="10219"/>
          </w:cols>
          <w:pgMar w:left="240" w:top="295" w:right="1440"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60" w:type="dxa"/>
            <w:vAlign w:val="bottom"/>
          </w:tcPr>
          <w:p>
            <w:pPr>
              <w:ind w:left="280"/>
              <w:spacing w:after="0"/>
              <w:rPr>
                <w:sz w:val="20"/>
                <w:szCs w:val="20"/>
                <w:color w:val="auto"/>
              </w:rPr>
            </w:pPr>
            <w:r>
              <w:rPr>
                <w:rFonts w:ascii="Courier New" w:cs="Courier New" w:eastAsia="Courier New" w:hAnsi="Courier New"/>
                <w:sz w:val="15"/>
                <w:szCs w:val="15"/>
                <w:color w:val="auto"/>
              </w:rPr>
              <w:t>10</w:t>
            </w:r>
          </w:p>
        </w:tc>
        <w:tc>
          <w:tcPr>
            <w:tcW w:w="56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88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"COMMENCEMENT DATE"............................................................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177"/>
        </w:trPr>
        <w:tc>
          <w:tcPr>
            <w:tcW w:w="1660" w:type="dxa"/>
            <w:vAlign w:val="bottom"/>
          </w:tcPr>
          <w:p>
            <w:pPr>
              <w:spacing w:after="0"/>
              <w:rPr>
                <w:sz w:val="20"/>
                <w:szCs w:val="20"/>
                <w:color w:val="auto"/>
              </w:rPr>
            </w:pPr>
            <w:r>
              <w:rPr>
                <w:rFonts w:ascii="Courier New" w:cs="Courier New" w:eastAsia="Courier New" w:hAnsi="Courier New"/>
                <w:sz w:val="15"/>
                <w:szCs w:val="15"/>
                <w:color w:val="auto"/>
              </w:rPr>
              <w:t>"CONVERSION AGENT"</w:t>
            </w:r>
          </w:p>
        </w:tc>
        <w:tc>
          <w:tcPr>
            <w:tcW w:w="5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"CONVERSION DATE"..............................................................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5.02</w:t>
            </w:r>
          </w:p>
        </w:tc>
      </w:tr>
      <w:tr>
        <w:trPr>
          <w:trHeight w:val="177"/>
        </w:trPr>
        <w:tc>
          <w:tcPr>
            <w:tcW w:w="1660" w:type="dxa"/>
            <w:vAlign w:val="bottom"/>
          </w:tcPr>
          <w:p>
            <w:pPr>
              <w:spacing w:after="0"/>
              <w:rPr>
                <w:sz w:val="20"/>
                <w:szCs w:val="20"/>
                <w:color w:val="auto"/>
              </w:rPr>
            </w:pPr>
            <w:r>
              <w:rPr>
                <w:rFonts w:ascii="Courier New" w:cs="Courier New" w:eastAsia="Courier New" w:hAnsi="Courier New"/>
                <w:sz w:val="15"/>
                <w:szCs w:val="15"/>
                <w:color w:val="auto"/>
              </w:rPr>
              <w:t>"CONVERSION PRICE"</w:t>
            </w:r>
          </w:p>
        </w:tc>
        <w:tc>
          <w:tcPr>
            <w:tcW w:w="5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5.01</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"CONVERSION SHARES"............................................................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5.06</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"CUSTODIAN"....................................................................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"DISTRIBUTION DATE"............................................................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5.06</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"DISTRIBUTION RECORD DATE".....................................................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5.06</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"EUROCLEAR"....................................................................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7"/>
        </w:trPr>
        <w:tc>
          <w:tcPr>
            <w:tcW w:w="1660" w:type="dxa"/>
            <w:vAlign w:val="bottom"/>
          </w:tcPr>
          <w:p>
            <w:pPr>
              <w:spacing w:after="0"/>
              <w:rPr>
                <w:sz w:val="20"/>
                <w:szCs w:val="20"/>
                <w:color w:val="auto"/>
              </w:rPr>
            </w:pPr>
            <w:r>
              <w:rPr>
                <w:rFonts w:ascii="Courier New" w:cs="Courier New" w:eastAsia="Courier New" w:hAnsi="Courier New"/>
                <w:sz w:val="15"/>
                <w:szCs w:val="15"/>
                <w:color w:val="auto"/>
              </w:rPr>
              <w:t>"EVENT OF DEFAULT"</w:t>
            </w:r>
          </w:p>
        </w:tc>
        <w:tc>
          <w:tcPr>
            <w:tcW w:w="5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"FUNDAMENTAL CHANGE  PAYMENT"..................................................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"GLOBAL NOTE"..................................................................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"GLOBAL NOTES LEGEND"..........................................................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"LEGAL HOLIDAY"................................................................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12.08</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"NEW YORK PRESENTING AGENT"....................................................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"OFFER AMOUNT".................................................................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"PAYING AGENT".................................................................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"PAYMENT BLOCKAGE NOTICE"......................................................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6.02</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"PAYMENT BLOCKAGE PERIOD"......................................................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6.02</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"PAYMENT DEFAULT"..............................................................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"PURCHASE DATE"................................................................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"PURCHASE OFFER"...............................................................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"QIBs".........................................................................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"REGULATION S"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"REGULATION S GLOBAL NOTE".....................................................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"REGISTRAR"....................................................................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r>
        <w:trPr>
          <w:trHeight w:val="177"/>
        </w:trPr>
        <w:tc>
          <w:tcPr>
            <w:tcW w:w="1660" w:type="dxa"/>
            <w:vAlign w:val="bottom"/>
          </w:tcPr>
          <w:p>
            <w:pPr>
              <w:spacing w:after="0"/>
              <w:rPr>
                <w:sz w:val="20"/>
                <w:szCs w:val="20"/>
                <w:color w:val="auto"/>
              </w:rPr>
            </w:pPr>
            <w:r>
              <w:rPr>
                <w:rFonts w:ascii="Courier New" w:cs="Courier New" w:eastAsia="Courier New" w:hAnsi="Courier New"/>
                <w:sz w:val="15"/>
                <w:szCs w:val="15"/>
                <w:color w:val="auto"/>
              </w:rPr>
              <w:t>"RESTRICTED NOTES"</w:t>
            </w:r>
          </w:p>
        </w:tc>
        <w:tc>
          <w:tcPr>
            <w:tcW w:w="5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"RESTRICTED NOTES LEGEND"......................................................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"RIGHTS".......................................................................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5.06</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"RULE 144A"....................................................................</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"RULE 144A GLOBAL NOTE"........................................................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7"/>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"TENDER PERIOD"................................................................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355"/>
        </w:trPr>
        <w:tc>
          <w:tcPr>
            <w:tcW w:w="1660" w:type="dxa"/>
            <w:vAlign w:val="bottom"/>
          </w:tcPr>
          <w:p>
            <w:pPr>
              <w:spacing w:after="0"/>
              <w:rPr>
                <w:sz w:val="20"/>
                <w:szCs w:val="20"/>
                <w:color w:val="auto"/>
              </w:rPr>
            </w:pPr>
            <w:r>
              <w:rPr>
                <w:rFonts w:ascii="Courier New" w:cs="Courier New" w:eastAsia="Courier New" w:hAnsi="Courier New"/>
                <w:sz w:val="15"/>
                <w:szCs w:val="15"/>
                <w:color w:val="auto"/>
              </w:rPr>
              <w:t>SECTION 1.03.</w:t>
            </w:r>
          </w:p>
        </w:tc>
        <w:tc>
          <w:tcPr>
            <w:tcW w:w="5660" w:type="dxa"/>
            <w:vAlign w:val="bottom"/>
          </w:tcPr>
          <w:p>
            <w:pPr>
              <w:spacing w:after="0"/>
              <w:rPr>
                <w:sz w:val="20"/>
                <w:szCs w:val="20"/>
                <w:color w:val="auto"/>
              </w:rPr>
            </w:pPr>
            <w:r>
              <w:rPr>
                <w:rFonts w:ascii="Courier New" w:cs="Courier New" w:eastAsia="Courier New" w:hAnsi="Courier New"/>
                <w:sz w:val="15"/>
                <w:szCs w:val="15"/>
                <w:color w:val="auto"/>
              </w:rPr>
              <w:t>INCORPORATION BY REFERENCE OF TRUST INDENTURE ACT.</w:t>
            </w:r>
          </w:p>
        </w:tc>
        <w:tc>
          <w:tcPr>
            <w:tcW w:w="520" w:type="dxa"/>
            <w:vAlign w:val="bottom"/>
          </w:tcPr>
          <w:p>
            <w:pPr>
              <w:spacing w:after="0"/>
              <w:rPr>
                <w:sz w:val="24"/>
                <w:szCs w:val="24"/>
                <w:color w:val="auto"/>
              </w:rPr>
            </w:pPr>
          </w:p>
        </w:tc>
      </w:tr>
    </w:tbl>
    <w:p>
      <w:pPr>
        <w:spacing w:after="0" w:line="360" w:lineRule="exact"/>
        <w:rPr>
          <w:sz w:val="20"/>
          <w:szCs w:val="20"/>
          <w:color w:val="auto"/>
        </w:rPr>
      </w:pPr>
    </w:p>
    <w:p>
      <w:pPr>
        <w:ind w:left="820" w:right="2939" w:firstLine="830"/>
        <w:spacing w:after="0" w:line="252" w:lineRule="auto"/>
        <w:rPr>
          <w:sz w:val="20"/>
          <w:szCs w:val="20"/>
          <w:color w:val="auto"/>
        </w:rPr>
      </w:pPr>
      <w:r>
        <w:rPr>
          <w:rFonts w:ascii="Courier New" w:cs="Courier New" w:eastAsia="Courier New" w:hAnsi="Courier New"/>
          <w:sz w:val="15"/>
          <w:szCs w:val="15"/>
          <w:color w:val="auto"/>
        </w:rPr>
        <w:t>Whenever this Indenture refers to a provision of the TIA, the provision is incorporated by reference in and made a part of this Indenture.</w:t>
      </w:r>
    </w:p>
    <w:p>
      <w:pPr>
        <w:spacing w:after="0" w:line="352" w:lineRule="exact"/>
        <w:rPr>
          <w:sz w:val="20"/>
          <w:szCs w:val="20"/>
          <w:color w:val="auto"/>
        </w:rPr>
      </w:pPr>
    </w:p>
    <w:p>
      <w:pPr>
        <w:ind w:left="820" w:right="3399"/>
        <w:spacing w:after="0" w:line="253" w:lineRule="auto"/>
        <w:rPr>
          <w:sz w:val="20"/>
          <w:szCs w:val="20"/>
          <w:color w:val="auto"/>
        </w:rPr>
      </w:pPr>
      <w:r>
        <w:rPr>
          <w:rFonts w:ascii="Courier New" w:cs="Courier New" w:eastAsia="Courier New" w:hAnsi="Courier New"/>
          <w:sz w:val="15"/>
          <w:szCs w:val="15"/>
          <w:color w:val="auto"/>
        </w:rPr>
        <w:t>The following TIA terms used in this Indenture have the following meanings:</w:t>
      </w:r>
    </w:p>
    <w:p>
      <w:pPr>
        <w:spacing w:after="0" w:line="35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"INDENTURE SECURITIES" means the Notes;</w:t>
      </w:r>
    </w:p>
    <w:p>
      <w:pPr>
        <w:spacing w:after="0" w:line="36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"INDENTURE SECURITY HOLDER" means a Holder of a Note;</w:t>
      </w:r>
    </w:p>
    <w:p>
      <w:pPr>
        <w:spacing w:after="0" w:line="36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"INDENTURE TO BE QUALIFIED" means this Indenture;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5" w:right="1440" w:bottom="1440" w:gutter="0" w:footer="0" w:header="0"/>
        </w:sectPr>
      </w:pPr>
    </w:p>
    <w:bookmarkStart w:id="56" w:name="page57"/>
    <w:bookmarkEnd w:id="56"/>
    <w:p>
      <w:pPr>
        <w:ind w:left="285"/>
        <w:spacing w:after="0"/>
        <w:rPr>
          <w:sz w:val="20"/>
          <w:szCs w:val="20"/>
          <w:color w:val="auto"/>
        </w:rPr>
      </w:pPr>
      <w:r>
        <w:rPr>
          <w:rFonts w:ascii="Courier New" w:cs="Courier New" w:eastAsia="Courier New" w:hAnsi="Courier New"/>
          <w:sz w:val="15"/>
          <w:szCs w:val="15"/>
          <w:color w:val="auto"/>
        </w:rPr>
        <w:t>11</w:t>
      </w:r>
    </w:p>
    <w:p>
      <w:pPr>
        <w:spacing w:after="0" w:line="362" w:lineRule="exact"/>
        <w:rPr>
          <w:sz w:val="20"/>
          <w:szCs w:val="20"/>
          <w:color w:val="auto"/>
        </w:rPr>
      </w:pPr>
    </w:p>
    <w:p>
      <w:pPr>
        <w:ind w:left="1665" w:right="3399"/>
        <w:spacing w:after="0" w:line="250" w:lineRule="auto"/>
        <w:rPr>
          <w:sz w:val="20"/>
          <w:szCs w:val="20"/>
          <w:color w:val="auto"/>
        </w:rPr>
      </w:pPr>
      <w:r>
        <w:rPr>
          <w:rFonts w:ascii="Courier New" w:cs="Courier New" w:eastAsia="Courier New" w:hAnsi="Courier New"/>
          <w:sz w:val="15"/>
          <w:szCs w:val="15"/>
          <w:color w:val="auto"/>
        </w:rPr>
        <w:t>"INDENTURE TRUSTEE" or "INSTITUTIONAL TRUSTEE" means the Trustee;</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and</w:t>
      </w:r>
    </w:p>
    <w:p>
      <w:pPr>
        <w:spacing w:after="0" w:line="362" w:lineRule="exact"/>
        <w:rPr>
          <w:sz w:val="20"/>
          <w:szCs w:val="20"/>
          <w:color w:val="auto"/>
        </w:rPr>
      </w:pPr>
    </w:p>
    <w:p>
      <w:pPr>
        <w:ind w:left="1665" w:right="2939"/>
        <w:spacing w:after="0" w:line="253" w:lineRule="auto"/>
        <w:rPr>
          <w:sz w:val="20"/>
          <w:szCs w:val="20"/>
          <w:color w:val="auto"/>
        </w:rPr>
      </w:pPr>
      <w:r>
        <w:rPr>
          <w:rFonts w:ascii="Courier New" w:cs="Courier New" w:eastAsia="Courier New" w:hAnsi="Courier New"/>
          <w:sz w:val="15"/>
          <w:szCs w:val="15"/>
          <w:color w:val="auto"/>
        </w:rPr>
        <w:t>"OBLIGOR" on the Notes means the Company or any other obligor on the Notes.</w:t>
      </w:r>
    </w:p>
    <w:p>
      <w:pPr>
        <w:spacing w:after="0" w:line="352" w:lineRule="exact"/>
        <w:rPr>
          <w:sz w:val="20"/>
          <w:szCs w:val="20"/>
          <w:color w:val="auto"/>
        </w:rPr>
      </w:pPr>
    </w:p>
    <w:p>
      <w:pPr>
        <w:jc w:val="both"/>
        <w:ind w:left="825" w:right="2839" w:firstLine="830"/>
        <w:spacing w:after="0" w:line="252" w:lineRule="auto"/>
        <w:rPr>
          <w:sz w:val="20"/>
          <w:szCs w:val="20"/>
          <w:color w:val="auto"/>
        </w:rPr>
      </w:pPr>
      <w:r>
        <w:rPr>
          <w:rFonts w:ascii="Courier New" w:cs="Courier New" w:eastAsia="Courier New" w:hAnsi="Courier New"/>
          <w:sz w:val="15"/>
          <w:szCs w:val="15"/>
          <w:color w:val="auto"/>
        </w:rPr>
        <w:t>All other terms used in this Indenture that are defined by the TIA, defined by TIA reference to another statute or defined by SEC rule under the TIA have the meanings so assigned to them.</w:t>
      </w:r>
    </w:p>
    <w:p>
      <w:pPr>
        <w:spacing w:after="0" w:line="175" w:lineRule="exact"/>
        <w:rPr>
          <w:sz w:val="20"/>
          <w:szCs w:val="20"/>
          <w:color w:val="auto"/>
        </w:rPr>
      </w:pPr>
    </w:p>
    <w:p>
      <w:pPr>
        <w:ind w:left="5"/>
        <w:spacing w:after="0"/>
        <w:tabs>
          <w:tab w:leader="none" w:pos="1645"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5"/>
          <w:szCs w:val="15"/>
          <w:color w:val="auto"/>
        </w:rPr>
        <w:t>RULES OF CONSTRUCTION.</w:t>
      </w:r>
    </w:p>
    <w:p>
      <w:pPr>
        <w:spacing w:after="0" w:line="185"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Unless the context otherwise requires:</w:t>
      </w:r>
    </w:p>
    <w:p>
      <w:pPr>
        <w:spacing w:after="0" w:line="185" w:lineRule="exact"/>
        <w:rPr>
          <w:sz w:val="20"/>
          <w:szCs w:val="20"/>
          <w:color w:val="auto"/>
        </w:rPr>
      </w:pPr>
    </w:p>
    <w:p>
      <w:pPr>
        <w:ind w:left="1665" w:hanging="835"/>
        <w:spacing w:after="0"/>
        <w:tabs>
          <w:tab w:leader="none" w:pos="16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 has the meaning assigned to it;</w:t>
      </w:r>
    </w:p>
    <w:p>
      <w:pPr>
        <w:spacing w:after="0" w:line="184" w:lineRule="exact"/>
        <w:rPr>
          <w:rFonts w:ascii="Courier New" w:cs="Courier New" w:eastAsia="Courier New" w:hAnsi="Courier New"/>
          <w:sz w:val="15"/>
          <w:szCs w:val="15"/>
          <w:color w:val="auto"/>
        </w:rPr>
      </w:pPr>
    </w:p>
    <w:p>
      <w:pPr>
        <w:ind w:left="1665" w:right="3019" w:hanging="835"/>
        <w:spacing w:after="0" w:line="253" w:lineRule="auto"/>
        <w:tabs>
          <w:tab w:leader="none" w:pos="16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accounting term not otherwise defined has the meaning assigned to it in accordance with GAAP consistently applied;</w:t>
      </w:r>
    </w:p>
    <w:p>
      <w:pPr>
        <w:spacing w:after="0" w:line="174" w:lineRule="exact"/>
        <w:rPr>
          <w:rFonts w:ascii="Courier New" w:cs="Courier New" w:eastAsia="Courier New" w:hAnsi="Courier New"/>
          <w:sz w:val="15"/>
          <w:szCs w:val="15"/>
          <w:color w:val="auto"/>
        </w:rPr>
      </w:pPr>
    </w:p>
    <w:p>
      <w:pPr>
        <w:ind w:left="1665" w:hanging="835"/>
        <w:spacing w:after="0"/>
        <w:tabs>
          <w:tab w:leader="none" w:pos="16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is not exclusive;</w:t>
      </w:r>
    </w:p>
    <w:p>
      <w:pPr>
        <w:spacing w:after="0" w:line="184" w:lineRule="exact"/>
        <w:rPr>
          <w:rFonts w:ascii="Courier New" w:cs="Courier New" w:eastAsia="Courier New" w:hAnsi="Courier New"/>
          <w:sz w:val="15"/>
          <w:szCs w:val="15"/>
          <w:color w:val="auto"/>
        </w:rPr>
      </w:pPr>
    </w:p>
    <w:p>
      <w:pPr>
        <w:ind w:left="1665" w:right="3119" w:hanging="835"/>
        <w:spacing w:after="0" w:line="253" w:lineRule="auto"/>
        <w:tabs>
          <w:tab w:leader="none" w:pos="16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words in the singular include the plural, and in the plural include the singular;</w:t>
      </w:r>
    </w:p>
    <w:p>
      <w:pPr>
        <w:spacing w:after="0" w:line="174" w:lineRule="exact"/>
        <w:rPr>
          <w:rFonts w:ascii="Courier New" w:cs="Courier New" w:eastAsia="Courier New" w:hAnsi="Courier New"/>
          <w:sz w:val="15"/>
          <w:szCs w:val="15"/>
          <w:color w:val="auto"/>
        </w:rPr>
      </w:pPr>
    </w:p>
    <w:p>
      <w:pPr>
        <w:ind w:left="1665" w:hanging="835"/>
        <w:spacing w:after="0"/>
        <w:tabs>
          <w:tab w:leader="none" w:pos="16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apply to successive events and transactions;</w:t>
      </w:r>
    </w:p>
    <w:p>
      <w:pPr>
        <w:spacing w:after="0" w:line="184" w:lineRule="exact"/>
        <w:rPr>
          <w:rFonts w:ascii="Courier New" w:cs="Courier New" w:eastAsia="Courier New" w:hAnsi="Courier New"/>
          <w:sz w:val="15"/>
          <w:szCs w:val="15"/>
          <w:color w:val="auto"/>
        </w:rPr>
      </w:pPr>
    </w:p>
    <w:p>
      <w:pPr>
        <w:ind w:left="1665" w:right="3119" w:hanging="835"/>
        <w:spacing w:after="0" w:line="251" w:lineRule="auto"/>
        <w:tabs>
          <w:tab w:leader="none" w:pos="16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sections of or rules under the Securities Act shall be deemed to include substitute, replacement or successor sections or rules adopted by the SEC from time to time; and</w:t>
      </w:r>
    </w:p>
    <w:p>
      <w:pPr>
        <w:spacing w:after="0" w:line="176" w:lineRule="exact"/>
        <w:rPr>
          <w:rFonts w:ascii="Courier New" w:cs="Courier New" w:eastAsia="Courier New" w:hAnsi="Courier New"/>
          <w:sz w:val="15"/>
          <w:szCs w:val="15"/>
          <w:color w:val="auto"/>
        </w:rPr>
      </w:pPr>
    </w:p>
    <w:p>
      <w:pPr>
        <w:ind w:left="1665" w:right="3579" w:hanging="835"/>
        <w:spacing w:after="0" w:line="253" w:lineRule="auto"/>
        <w:tabs>
          <w:tab w:leader="none" w:pos="16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 or U.S. Dollars is to United States dollars.</w:t>
      </w:r>
    </w:p>
    <w:p>
      <w:pPr>
        <w:spacing w:after="0" w:line="174"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5"/>
          <w:szCs w:val="15"/>
          <w:color w:val="auto"/>
        </w:rPr>
        <w:t>ARTICLE II</w:t>
      </w:r>
    </w:p>
    <w:p>
      <w:pPr>
        <w:spacing w:after="0" w:line="8"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5"/>
          <w:szCs w:val="15"/>
          <w:color w:val="auto"/>
        </w:rPr>
        <w:t>THE NOTES</w:t>
      </w:r>
    </w:p>
    <w:p>
      <w:pPr>
        <w:spacing w:after="0" w:line="185" w:lineRule="exact"/>
        <w:rPr>
          <w:sz w:val="20"/>
          <w:szCs w:val="20"/>
          <w:color w:val="auto"/>
        </w:rPr>
      </w:pPr>
    </w:p>
    <w:p>
      <w:pPr>
        <w:ind w:left="5"/>
        <w:spacing w:after="0"/>
        <w:tabs>
          <w:tab w:leader="none" w:pos="1645"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5"/>
          <w:szCs w:val="15"/>
          <w:color w:val="auto"/>
        </w:rPr>
        <w:t>FORM AND DATING.</w:t>
      </w:r>
    </w:p>
    <w:p>
      <w:pPr>
        <w:spacing w:after="0" w:line="362" w:lineRule="exact"/>
        <w:rPr>
          <w:sz w:val="20"/>
          <w:szCs w:val="20"/>
          <w:color w:val="auto"/>
        </w:rPr>
      </w:pPr>
    </w:p>
    <w:p>
      <w:pPr>
        <w:ind w:left="825" w:hanging="825"/>
        <w:spacing w:after="0"/>
        <w:tabs>
          <w:tab w:leader="none" w:pos="82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362" w:lineRule="exact"/>
        <w:rPr>
          <w:sz w:val="20"/>
          <w:szCs w:val="20"/>
          <w:color w:val="auto"/>
        </w:rPr>
      </w:pPr>
    </w:p>
    <w:p>
      <w:pPr>
        <w:ind w:left="825" w:right="2839" w:firstLine="830"/>
        <w:spacing w:after="0" w:line="250" w:lineRule="auto"/>
        <w:rPr>
          <w:sz w:val="20"/>
          <w:szCs w:val="20"/>
          <w:color w:val="auto"/>
        </w:rPr>
      </w:pPr>
      <w:r>
        <w:rPr>
          <w:rFonts w:ascii="Courier New" w:cs="Courier New" w:eastAsia="Courier New" w:hAnsi="Courier New"/>
          <w:sz w:val="15"/>
          <w:szCs w:val="15"/>
          <w:color w:val="auto"/>
        </w:rPr>
        <w:t>The Notes and the Trustee's certificate of authentication shall be substantially in the form of Exhibit A hereto, which is hereby incorporated by reference and expressly made a part of this Indenture. The Notes may have notations, legends or endorsements required by law, stock exchange rule, agreements to which the Company is subject, if any, or usage (provided that any such notation, legend or endorsement is in a form acceptable to the Company). The Company shall furnish any such legend not contained in Exhibit A to the Trustee in writing. Each Note shall be dated the date of its authentication. The Notes shall be in denominations of $1,000 and integral multiples thereof. The terms and provisions of the Notes set forth in Exhibit A are part of this Indenture and to the extent applicable, the Company and the Trustee, by their execution and delivery of this Indenture, expressly agree to such terms and provisions and to be bound thereby. However, to the extent any provision</w:t>
      </w:r>
    </w:p>
    <w:p>
      <w:pPr>
        <w:spacing w:after="0" w:line="18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5" w:top="295"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12</w:t>
      </w:r>
    </w:p>
    <w:p>
      <w:pPr>
        <w:spacing w:after="0" w:line="185" w:lineRule="exact"/>
        <w:rPr>
          <w:sz w:val="20"/>
          <w:szCs w:val="20"/>
          <w:color w:val="auto"/>
        </w:rPr>
      </w:pPr>
    </w:p>
    <w:p>
      <w:pPr>
        <w:ind w:left="540" w:right="3119"/>
        <w:spacing w:after="0" w:line="253" w:lineRule="auto"/>
        <w:rPr>
          <w:sz w:val="20"/>
          <w:szCs w:val="20"/>
          <w:color w:val="auto"/>
        </w:rPr>
      </w:pPr>
      <w:r>
        <w:rPr>
          <w:rFonts w:ascii="Courier New" w:cs="Courier New" w:eastAsia="Courier New" w:hAnsi="Courier New"/>
          <w:sz w:val="15"/>
          <w:szCs w:val="15"/>
          <w:color w:val="auto"/>
        </w:rPr>
        <w:t>of any Note conflicts with the express provisions of this Indenture, the provisions of this Indenture shall govern and be controlling.</w:t>
      </w:r>
    </w:p>
    <w:p>
      <w:pPr>
        <w:spacing w:after="0" w:line="174"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(b) GLOBAL NOTES.</w:t>
      </w:r>
    </w:p>
    <w:p>
      <w:pPr>
        <w:spacing w:after="0" w:line="362"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The Notes are being offered and sold by the Company pursuant to the Purchase Agreement. The Notes shall be offered and sold primarily to Qualified Institutional Buyers ("QIBs") in reliance on Rule 144A under the Securities Act ("RULE 144A"), as provided in the Purchase Agreement. The Notes shall be issued initially in the form of one or more permanent Global Notes in definitive, fully registered form without interest coupons with the Global Notes Legend ("GLOBAL NOTES LEGEND") and Restricted Notes Legend ("RESTRICTED NOTES LEGEND") set forth in Exhibit A hereto ("RULE 144A GLOBAL NOTE"), which shall be deposited on behalf of the purchasers of the Notes represented thereby with the Trustee, as custodian for the Depositary, and registered in the name of the Depositary or a nominee of the Depositary, duly executed by the Company and authenticated by the Trustee as hereinafter provided. The aggregate principal amount of the Rule 144A Global Note may from time to time be increased or decreased by adjustments made on the records of the Trustee and the Depositary or its nominee as hereinafter provided.</w:t>
      </w:r>
    </w:p>
    <w:p>
      <w:pPr>
        <w:spacing w:after="0" w:line="200" w:lineRule="exact"/>
        <w:rPr>
          <w:sz w:val="20"/>
          <w:szCs w:val="20"/>
          <w:color w:val="auto"/>
        </w:rPr>
      </w:pPr>
    </w:p>
    <w:p>
      <w:pPr>
        <w:spacing w:after="0" w:line="339" w:lineRule="exact"/>
        <w:rPr>
          <w:sz w:val="20"/>
          <w:szCs w:val="20"/>
          <w:color w:val="auto"/>
        </w:rPr>
      </w:pPr>
    </w:p>
    <w:p>
      <w:pPr>
        <w:ind w:left="540" w:right="2939" w:firstLine="830"/>
        <w:spacing w:after="0" w:line="250" w:lineRule="auto"/>
        <w:rPr>
          <w:sz w:val="20"/>
          <w:szCs w:val="20"/>
          <w:color w:val="auto"/>
        </w:rPr>
      </w:pPr>
      <w:r>
        <w:rPr>
          <w:rFonts w:ascii="Courier New" w:cs="Courier New" w:eastAsia="Courier New" w:hAnsi="Courier New"/>
          <w:sz w:val="15"/>
          <w:szCs w:val="15"/>
          <w:color w:val="auto"/>
        </w:rPr>
        <w:t>Notes transferred in reliance on Regulation S under the Securities Act ("REGULATION S") as provided in Section 2.06(a)(ii) and</w:t>
      </w:r>
    </w:p>
    <w:p>
      <w:pPr>
        <w:spacing w:after="0" w:line="1" w:lineRule="exact"/>
        <w:rPr>
          <w:sz w:val="20"/>
          <w:szCs w:val="20"/>
          <w:color w:val="auto"/>
        </w:rPr>
      </w:pPr>
    </w:p>
    <w:p>
      <w:pPr>
        <w:ind w:left="540" w:right="2839" w:firstLine="5"/>
        <w:spacing w:after="0" w:line="250" w:lineRule="auto"/>
        <w:tabs>
          <w:tab w:leader="none" w:pos="90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hereof, shall be issued in the form of one or more permanent Global Notes in definitive, fully registered form without interest coupons with the Global Notes Legend and Restricted Notes Legend set forth in Exhibit A hereto (the "REGULATION S GLOBAL NOTE"), which shall be deposited on behalf of the transferees of the Notes represented thereby with the Trustee, as custodian, for the Depositary, and registered in the name of the Depositary or the nominee of the Depositary for the accounts of designated agents holding on behalf of the Euroclear System ("EUROCLEAR") or Clearstream Banking ("CLEARSTREAM"), duly executed by the Company and authenticated by the Trustee as hereinafter provided. The aggregate principal of the Regulation S Global Note may from time to time be increased or decreased by adjustments made on the records of the Trustee and the Depositary or its nominee as hereinafter provided.</w:t>
      </w:r>
    </w:p>
    <w:p>
      <w:pPr>
        <w:spacing w:after="0" w:line="361" w:lineRule="exact"/>
        <w:rPr>
          <w:sz w:val="20"/>
          <w:szCs w:val="20"/>
          <w:color w:val="auto"/>
        </w:rPr>
      </w:pPr>
    </w:p>
    <w:p>
      <w:pPr>
        <w:ind w:left="540" w:right="2939" w:firstLine="830"/>
        <w:spacing w:after="0" w:line="251" w:lineRule="auto"/>
        <w:rPr>
          <w:sz w:val="20"/>
          <w:szCs w:val="20"/>
          <w:color w:val="auto"/>
        </w:rPr>
      </w:pPr>
      <w:r>
        <w:rPr>
          <w:rFonts w:ascii="Courier New" w:cs="Courier New" w:eastAsia="Courier New" w:hAnsi="Courier New"/>
          <w:sz w:val="15"/>
          <w:szCs w:val="15"/>
          <w:color w:val="auto"/>
        </w:rPr>
        <w:t>So long as any Global Note is outstanding, owners of beneficial interests therein may transfer their interests therein only in reliance on Regulation S or to QIBs in reliance on Rule 144A in accordance with Section 2.06.</w:t>
      </w:r>
    </w:p>
    <w:p>
      <w:pPr>
        <w:spacing w:after="0" w:line="176"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(c) BOOK-ENTRY PROVISIONS.</w:t>
      </w:r>
    </w:p>
    <w:p>
      <w:pPr>
        <w:spacing w:after="0" w:line="362" w:lineRule="exact"/>
        <w:rPr>
          <w:sz w:val="20"/>
          <w:szCs w:val="20"/>
          <w:color w:val="auto"/>
        </w:rPr>
      </w:pPr>
    </w:p>
    <w:p>
      <w:pPr>
        <w:ind w:left="540" w:right="2839" w:firstLine="830"/>
        <w:spacing w:after="0" w:line="251" w:lineRule="auto"/>
        <w:rPr>
          <w:sz w:val="20"/>
          <w:szCs w:val="20"/>
          <w:color w:val="auto"/>
        </w:rPr>
      </w:pPr>
      <w:r>
        <w:rPr>
          <w:rFonts w:ascii="Courier New" w:cs="Courier New" w:eastAsia="Courier New" w:hAnsi="Courier New"/>
          <w:sz w:val="15"/>
          <w:szCs w:val="15"/>
          <w:color w:val="auto"/>
        </w:rPr>
        <w:t>This Section 2.01(c) shall apply only to the Rule 144A Global Note and the Regulation S Global Note issued in the form of one or more permanent Global Notes (collectively, the "GLOBAL NOTES") deposited with or on behalf of the Depositary.</w:t>
      </w:r>
    </w:p>
    <w:p>
      <w:pPr>
        <w:spacing w:after="0" w:line="354" w:lineRule="exact"/>
        <w:rPr>
          <w:sz w:val="20"/>
          <w:szCs w:val="20"/>
          <w:color w:val="auto"/>
        </w:rPr>
      </w:pPr>
    </w:p>
    <w:p>
      <w:pPr>
        <w:ind w:left="540" w:right="2839" w:firstLine="830"/>
        <w:spacing w:after="0" w:line="251" w:lineRule="auto"/>
        <w:rPr>
          <w:sz w:val="20"/>
          <w:szCs w:val="20"/>
          <w:color w:val="auto"/>
        </w:rPr>
      </w:pPr>
      <w:r>
        <w:rPr>
          <w:rFonts w:ascii="Courier New" w:cs="Courier New" w:eastAsia="Courier New" w:hAnsi="Courier New"/>
          <w:sz w:val="15"/>
          <w:szCs w:val="15"/>
          <w:color w:val="auto"/>
        </w:rPr>
        <w:t>The Company shall execute and the Trustee shall, in accordance with this Section 2.01(c), authenticate and deliver initially one or more Global Notes that (a) shall be registered in the name of the Depositary for such Global Note or Global Notes or the nominee</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39"/>
          </w:cols>
          <w:pgMar w:left="520" w:top="295"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13</w:t>
      </w:r>
    </w:p>
    <w:p>
      <w:pPr>
        <w:spacing w:after="0" w:line="185" w:lineRule="exact"/>
        <w:rPr>
          <w:sz w:val="20"/>
          <w:szCs w:val="20"/>
          <w:color w:val="auto"/>
        </w:rPr>
      </w:pPr>
    </w:p>
    <w:p>
      <w:pPr>
        <w:ind w:left="540" w:right="2839"/>
        <w:spacing w:after="0" w:line="252" w:lineRule="auto"/>
        <w:rPr>
          <w:sz w:val="20"/>
          <w:szCs w:val="20"/>
          <w:color w:val="auto"/>
        </w:rPr>
      </w:pPr>
      <w:r>
        <w:rPr>
          <w:rFonts w:ascii="Courier New" w:cs="Courier New" w:eastAsia="Courier New" w:hAnsi="Courier New"/>
          <w:sz w:val="15"/>
          <w:szCs w:val="15"/>
          <w:color w:val="auto"/>
        </w:rPr>
        <w:t>of such Depositary and (b) shall be delivered by the Trustee to such Depositary or pursuant to such Depositary's instructions or held by the Trustee as custodian for the Depositary.</w:t>
      </w:r>
    </w:p>
    <w:p>
      <w:pPr>
        <w:spacing w:after="0" w:line="352"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Members of, or participants in, the Depositary ("AGENT MEMBERS") shall have no rights under this Indenture with respect to any Global Note held on their behalf by the Depositary or by the Trustee as the custodian of the Depositary or under such Global Note, and the Depositary may be treated by the Company, the Trustee and any agent of the Company or the Trustee as the absolute owner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of such Depositary governing the exercise of the rights of an owner of a beneficial interest in any Global Note.</w:t>
      </w:r>
    </w:p>
    <w:p>
      <w:pPr>
        <w:spacing w:after="0" w:line="183"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(d) CERTIFICATED NOTES.</w:t>
      </w:r>
    </w:p>
    <w:p>
      <w:pPr>
        <w:spacing w:after="0" w:line="362"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So long as the Depositary or its nominee is the registered owner of a Note, the Depositary or such nominee, as the case may be, will be considered the sole owner or Holder of the Notes represented by the Global Notes for all purposes under the Indenture. Except as provided below, owners of beneficial interests in a Global Note will not be entitled to have Notes represented by such Global Note registered in their names, will not receive or be entitled to receive physical delivery of certificated Notes, and will not be considered the owners or holders thereof under the Indenture for any purpose, including with respect to the giving of any directions, instructions or approvals to the Trustee thereunder.</w:t>
      </w:r>
    </w:p>
    <w:p>
      <w:pPr>
        <w:spacing w:after="0" w:line="360"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Other than as set forth below in this Section, certificated Notes will be issued to owners of beneficial interests in Global Notes in exchange for their interests in Global Notes only if (1) the Company notifies the Trustee in writing that the Depositary is no longer willing or able to act as a depositary and the Company is unable to locate a qualified successor within 90 days, or (2) the Company, at its option, notifies the Trustee in writing that it elects to cause the issuance of Notes in definitive form under the Indenture. In either case, upon surrender by the Depositary of the Global Notes, certificated Notes will be issued to each Person that the Depositary identifies as the beneficial owner of the Notes represented by the Global Notes. In addition, the Company will issue certificated Notes in exchange for interests in Global Notes upon the request of an owner of such an interest if an Event of Default has occurred and is continuing, in which case, upon receipt of such request and necessary information from the Depositary in accordance with its procedures, the principal Registrar shall instruct the Depositary as to the corresponding reduction to be made in the principal amount of the relevant Global Note. Finally, at such time as all Global Notes cease to be outstanding pursuant to clause (1) or (2) above, certificated Notes may be issued in accordance with paragraphs (vi) and (vii) of Section 2.06(a). Upon any such issuance, the Trustee shall register such certificated Notes in the name of such Person or Persons (or the nominee of any thereof), and cause the same to be delivered thereto. All such certificated Notes shall bear the Restricted Notes Legend set forth in Exhibit A hereto (collectively with the Accredited Investor Restricted Notes defined below, the "RESTRICTED NOTES") unless otherwise provided in this Section 2.01(d) and Section 2.06(b) hereof.</w:t>
      </w:r>
    </w:p>
    <w:p>
      <w:pPr>
        <w:spacing w:after="0" w:line="36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39"/>
          </w:cols>
          <w:pgMar w:left="520" w:top="295"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14</w:t>
      </w:r>
    </w:p>
    <w:p>
      <w:pPr>
        <w:spacing w:after="0" w:line="185"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Notes offered and sold to "accredited investors" (as defined in Rule 501(a)(1), (2), (3) or (7) of Regulation D under the Securities Act), as provided in the Purchase Agreement, shall be issued in the form of one or more certificated Notes (subject to a minimum initial purchase amount of $100,000) in definitive, fully registered form without interest coupons with the Restricted Notes Legend set forth in Exhibit A hereto ("ACCREDITED INVESTOR RESTRICTED NOTES"), which shall be registered in the name of such Accredited Investor or its nominee, duly executed by the Company and authenticated by the Trustee as hereinafter provided. So long as Global Notes have not ceased to be outstanding pursuant to clause (1) or (2) in the immediately preceding paragraph above (and unless such Accredited Investor Restricted Notes have been exchanged for certificated Notes without a Restricted Notes Legend pursuant to the last paragraph in this Section, if applicable), such Accredited Investor Restricted Notes may only be transferred in reliance on Regulation S (pursuant to Section 2.06(a)(iv))or to QIBs in reliance on Rule 144A (pursuant to Section 2.06(a)(v)). After such time as Global Notes have ceased to be outstanding pursuant to clauses (1) or (2) in the immediately preceding paragraph, Accredited Investor Restricted Notes may be transferred to transferees who hold the transferred interests in the form of certificated Notes in accordance with Section 2.06(a)(vii) or Section 2.06(b).</w:t>
      </w:r>
    </w:p>
    <w:p>
      <w:pPr>
        <w:spacing w:after="0" w:line="365"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Notwithstanding the foregoing, Notes offered and sold on the Issuance Date to "accredited investors" (as defined above) shall be issued initially in the form of one or more permanent Global Notes in definitive, fully registered form without interest coupons with the Global Notes Legend and Restrictive Notes Legend set forth in Exhibit A (the "Accredited Investor Global Note"), which shall be deposited on behalf of the purchasers of the Notes represented thereby with the Trustee, as custodian for the Depositary, and registered in the name of the Depositary or a nominee of the Depositary, duly executed by the Company and authenticated by the Trustee as hereinafter provided. Such Accredited Investor Global Note shall be deemed to be a Global Note for all purposes of this Indenture. Promptly after the Issuance Date, the Company shall cause the purchasers of the Accredited Investor Global Note to arrange with the Depositary for the exchange of such Accredited Investor Global Note for Accredited Investor Restricted Notes. Upon receipt by the principal Registrar of instructions from the Depositary directing the principal Registrar to authenticate and deliver one or more Accredited Investor Restricted Notes of the same aggregate principal amount as the beneficial interest in the Accredited Investor Global Note to be exchanged, such instructions to contain the name or names of the Holder or Holders of such Accredited Investor Restricted Note or Notes, the authorized denominations of the Accredited Investor Restricted Note or Notes to be so issued and appropriate delivery instructions, the principal Registrar will instruct the Depositary to reduce the Accredited Investor Global Note by the aggregate principal amount of the beneficial interest therein to be exchanged and to debit from the account of the Person making such exchange the beneficial interest in the Accredited Investor Global Note that is being exchanged, and concurrently with such reduction and debit the Company shall execute, and the Trustee shall authenticate and deliver, one or more Accredited Investor Restricted Notes of the same aggregate principal amount in accordance with the instructions referred to above. Certificated Notes may be issued as aforesaid notwithstanding any other provision of this Indenture to the contrary restricting the issuance of certificated Notes.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39"/>
          </w:cols>
          <w:pgMar w:left="520" w:top="295"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15</w:t>
      </w:r>
    </w:p>
    <w:p>
      <w:pPr>
        <w:spacing w:after="0" w:line="8" w:lineRule="exact"/>
        <w:rPr>
          <w:sz w:val="20"/>
          <w:szCs w:val="20"/>
          <w:color w:val="auto"/>
        </w:rPr>
      </w:pPr>
    </w:p>
    <w:p>
      <w:pPr>
        <w:ind w:left="820" w:right="3019" w:firstLine="830"/>
        <w:spacing w:after="0" w:line="250" w:lineRule="auto"/>
        <w:rPr>
          <w:sz w:val="20"/>
          <w:szCs w:val="20"/>
          <w:color w:val="auto"/>
        </w:rPr>
      </w:pPr>
      <w:r>
        <w:rPr>
          <w:rFonts w:ascii="Courier New" w:cs="Courier New" w:eastAsia="Courier New" w:hAnsi="Courier New"/>
          <w:sz w:val="15"/>
          <w:szCs w:val="15"/>
          <w:color w:val="auto"/>
        </w:rPr>
        <w:t>After a transfer of any Notes during the period of the effectiveness of a Shelf Registration Statement with respect to the Notes and pursuant thereto, all requirements for Restricted Notes Legends on such Notes will cease to apply; and, in this case a certificated Note without a Restricted Notes Legend will be available to the Holder of such Restricted Notes upon request (and surrender of such Note bearing the Restricted Notes Legend for cancellation). The Company shall give written notice to the Trustee, in the form of an Officer's Certificate, of the effectiveness of the Shelf Registration Statement, on which the Trustee and Registrant may rely.</w:t>
      </w:r>
    </w:p>
    <w:p>
      <w:pPr>
        <w:spacing w:after="0" w:line="182"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5"/>
          <w:szCs w:val="15"/>
          <w:color w:val="auto"/>
        </w:rPr>
        <w:t>EXECUTION AND AUTHENTICATION.</w:t>
      </w:r>
    </w:p>
    <w:p>
      <w:pPr>
        <w:spacing w:after="0" w:line="362" w:lineRule="exact"/>
        <w:rPr>
          <w:sz w:val="20"/>
          <w:szCs w:val="20"/>
          <w:color w:val="auto"/>
        </w:rPr>
      </w:pPr>
    </w:p>
    <w:p>
      <w:pPr>
        <w:ind w:left="820" w:right="2939" w:firstLine="830"/>
        <w:spacing w:after="0" w:line="253" w:lineRule="auto"/>
        <w:rPr>
          <w:sz w:val="20"/>
          <w:szCs w:val="20"/>
          <w:color w:val="auto"/>
        </w:rPr>
      </w:pPr>
      <w:r>
        <w:rPr>
          <w:rFonts w:ascii="Courier New" w:cs="Courier New" w:eastAsia="Courier New" w:hAnsi="Courier New"/>
          <w:sz w:val="15"/>
          <w:szCs w:val="15"/>
          <w:color w:val="auto"/>
        </w:rPr>
        <w:t>One Officer shall sign the Notes for the Company by manual or facsimile signature.</w:t>
      </w:r>
    </w:p>
    <w:p>
      <w:pPr>
        <w:spacing w:after="0" w:line="352" w:lineRule="exact"/>
        <w:rPr>
          <w:sz w:val="20"/>
          <w:szCs w:val="20"/>
          <w:color w:val="auto"/>
        </w:rPr>
      </w:pPr>
    </w:p>
    <w:p>
      <w:pPr>
        <w:ind w:left="820" w:right="3219" w:firstLine="830"/>
        <w:spacing w:after="0" w:line="252" w:lineRule="auto"/>
        <w:rPr>
          <w:sz w:val="20"/>
          <w:szCs w:val="20"/>
          <w:color w:val="auto"/>
        </w:rPr>
      </w:pPr>
      <w:r>
        <w:rPr>
          <w:rFonts w:ascii="Courier New" w:cs="Courier New" w:eastAsia="Courier New" w:hAnsi="Courier New"/>
          <w:sz w:val="15"/>
          <w:szCs w:val="15"/>
          <w:color w:val="auto"/>
        </w:rPr>
        <w:t>If an Officer whose signature is on a Note no longer holds that office at the time the Note is authenticated, the Note shall nevertheless be valid.</w:t>
      </w:r>
    </w:p>
    <w:p>
      <w:pPr>
        <w:spacing w:after="0" w:line="352"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A Note shall not be valid until authenticated by the manual signature of an authorized officer of the Trustee. The signature shall be conclusive evidence that the Note has been authenticated under this Indenture.</w:t>
      </w:r>
    </w:p>
    <w:p>
      <w:pPr>
        <w:spacing w:after="0" w:line="354"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The Trustee shall, upon a written order of the Company signed by an Officer, authenticate one or more Notes for original issue up to an aggregate principal amount stated in Section 6 of the Notes. The aggregate principal amount of Notes outstanding at any time may not exceed $300,000,000 except as provided in Section 2.07; provided that Notes in excess of $250,000,000 shall not be issued other than pursuant to the over-allotment option granted by the Company to the Initial Purchasers as provided in the Purchase Agreement. In the event thereof, the Company shall certify to the Trustee in an Officer's Certificate that such issuance is pursuant to such over-allotment option granted by the Initial Purchasers under the Purchase Agreement.</w:t>
      </w:r>
    </w:p>
    <w:p>
      <w:pPr>
        <w:spacing w:after="0" w:line="360"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the Company or an Affiliate.</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5"/>
          <w:szCs w:val="15"/>
          <w:color w:val="auto"/>
        </w:rPr>
        <w:t>REGISTRAR AND PAYING AGENT.</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The Company shall maintain in the Borough of Manhattan, City of New York, State of New York, an office or agency where the Notes may be presented for registration of transfer or for exchange, payment and conversion (collectively, the "NEW YORK PRESENTING AGENT"). The Company initially designates STATE STREET BANK AND TRUST COMPANY, N.A., an affiliate of the Trustee, at its corporate trust offices in the Borough of Manhattan, City of New York, State of New York to act as New York Presenting Agent. The Trustee is initially appointed to act as Note registrar to maintain a register of transfers of the Notes (the "NOTE REGISTRAR") and to act as paying agent with respect to the Notes ("PAYING AGENT") and to act as agent for conversion of the Notes ("CONVERSION AGENT"). The Registrar shall keep a register of the Notes and of their transfer and exchange. The Company may</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5"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16</w:t>
      </w:r>
    </w:p>
    <w:p>
      <w:pPr>
        <w:spacing w:after="0" w:line="8" w:lineRule="exact"/>
        <w:rPr>
          <w:sz w:val="20"/>
          <w:szCs w:val="20"/>
          <w:color w:val="auto"/>
        </w:rPr>
      </w:pPr>
    </w:p>
    <w:p>
      <w:pPr>
        <w:ind w:left="820" w:right="2839"/>
        <w:spacing w:after="0" w:line="250" w:lineRule="auto"/>
        <w:rPr>
          <w:sz w:val="20"/>
          <w:szCs w:val="20"/>
          <w:color w:val="auto"/>
        </w:rPr>
      </w:pPr>
      <w:r>
        <w:rPr>
          <w:rFonts w:ascii="Courier New" w:cs="Courier New" w:eastAsia="Courier New" w:hAnsi="Courier New"/>
          <w:sz w:val="15"/>
          <w:szCs w:val="15"/>
          <w:color w:val="auto"/>
        </w:rPr>
        <w:t>appoint one or more co-Registrars, one or more additional Paying Agents and one or more additional Conversion Agents in such other locations as it shall determine. The term "Registrar" includes any co-Registrar, the term "Paying Agent" includes any additional Paying Agent and the term "Conversion Agent" includes any additional conversion agent. The Company may change any Paying Agent, Registrar, New York Presenting Agent or Conversion Agent without prior notice to any Holder. The Company shall notify the Trustee of the name and address of any Agent not a party to this Indenture. If the Company fails to appoint or maintain another entity as Registrar, Paying Agent, New York Presenting Agent or Conversion Agent, the Trustee shall act as such. The Company or any of its Affiliates may act as Paying Agent, Registrar, New York Presenting Agent or Conversion Agent.</w:t>
      </w:r>
    </w:p>
    <w:p>
      <w:pPr>
        <w:spacing w:after="0" w:line="183"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5"/>
          <w:szCs w:val="15"/>
          <w:color w:val="auto"/>
        </w:rPr>
        <w:t>PAYING AGENT TO HOLD MONEY IN TRUST.</w:t>
      </w:r>
    </w:p>
    <w:p>
      <w:pPr>
        <w:spacing w:after="0" w:line="362" w:lineRule="exact"/>
        <w:rPr>
          <w:sz w:val="20"/>
          <w:szCs w:val="20"/>
          <w:color w:val="auto"/>
        </w:rPr>
      </w:pPr>
    </w:p>
    <w:p>
      <w:pPr>
        <w:ind w:left="820" w:right="2939" w:firstLine="830"/>
        <w:spacing w:after="0" w:line="250" w:lineRule="auto"/>
        <w:rPr>
          <w:sz w:val="20"/>
          <w:szCs w:val="20"/>
          <w:color w:val="auto"/>
        </w:rPr>
      </w:pPr>
      <w:r>
        <w:rPr>
          <w:rFonts w:ascii="Courier New" w:cs="Courier New" w:eastAsia="Courier New" w:hAnsi="Courier New"/>
          <w:sz w:val="15"/>
          <w:szCs w:val="15"/>
          <w:color w:val="auto"/>
        </w:rPr>
        <w:t>The Company shall require each Paying Agent other than the Trustee to agree in writing that the Paying Agent will hold in trust for the benefit of Holders or the Trustee all money held by the Paying Agent for the payment of principal or interest on the Notes, and will notify the Trustee of any default by the Company in making any such payment. While any such default continues, the Trustee may require a Paying Agent to pay all money held by it to the Trustee and to account for any money disbursed by it. The Company at any time may require a Paying Agent to pay all money held by it to the Trustee. Upon payment over to the Trustee, the Paying Agent (if other than the Company or an Affiliate of the Company) shall have no further liability for the money. If the Company or an Affiliate of the Company acts as Paying Agent, it shall segregate and hold in a separate trust fund for the benefit of the Holders all money held by it as Paying Agent.</w:t>
      </w:r>
    </w:p>
    <w:p>
      <w:pPr>
        <w:spacing w:after="0" w:line="184"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SECTION 2.05.</w:t>
      </w:r>
      <w:r>
        <w:rPr>
          <w:sz w:val="20"/>
          <w:szCs w:val="20"/>
          <w:color w:val="auto"/>
        </w:rPr>
        <w:tab/>
      </w:r>
      <w:r>
        <w:rPr>
          <w:rFonts w:ascii="Courier New" w:cs="Courier New" w:eastAsia="Courier New" w:hAnsi="Courier New"/>
          <w:sz w:val="15"/>
          <w:szCs w:val="15"/>
          <w:color w:val="auto"/>
        </w:rPr>
        <w:t>HOLDER LISTS.</w:t>
      </w:r>
    </w:p>
    <w:p>
      <w:pPr>
        <w:spacing w:after="0" w:line="362" w:lineRule="exact"/>
        <w:rPr>
          <w:sz w:val="20"/>
          <w:szCs w:val="20"/>
          <w:color w:val="auto"/>
        </w:rPr>
      </w:pPr>
    </w:p>
    <w:p>
      <w:pPr>
        <w:ind w:left="820" w:right="3119" w:firstLine="830"/>
        <w:spacing w:after="0" w:line="251" w:lineRule="auto"/>
        <w:rPr>
          <w:sz w:val="20"/>
          <w:szCs w:val="20"/>
          <w:color w:val="auto"/>
        </w:rPr>
      </w:pPr>
      <w:r>
        <w:rPr>
          <w:rFonts w:ascii="Courier New" w:cs="Courier New" w:eastAsia="Courier New" w:hAnsi="Courier New"/>
          <w:sz w:val="15"/>
          <w:szCs w:val="15"/>
          <w:color w:val="auto"/>
        </w:rPr>
        <w:t>The Trustee shall preserve in as current a form as is reasonably practicable the most recent list available to it of the names and addresses of Holders. If the Trustee is not the Registrar, the Company shall furnish to the Trustee on or before each interest payment date and at such other times as the Trustee may request in writing a list in such form and as of such date as the Trustee may reasonably require of the names and addresses of Holders.</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2.06.</w:t>
      </w:r>
      <w:r>
        <w:rPr>
          <w:sz w:val="20"/>
          <w:szCs w:val="20"/>
          <w:color w:val="auto"/>
        </w:rPr>
        <w:tab/>
      </w:r>
      <w:r>
        <w:rPr>
          <w:rFonts w:ascii="Courier New" w:cs="Courier New" w:eastAsia="Courier New" w:hAnsi="Courier New"/>
          <w:sz w:val="15"/>
          <w:szCs w:val="15"/>
          <w:color w:val="auto"/>
        </w:rPr>
        <w:t>TRANSFER AND EXCHANGE.</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Whenever Notes are presented to the Registrar or a co-Registrar with a request to register a transfer or to exchange them for an equal principal amount of Notes of other denominations, the Registrar shall register the transfer or make the exchange if its requirements for such transactions are met. To permit registrations of transfers and exchanges, the Company shall issue and the Trustee shall authenticate Notes at the Registrar's request. No service charge shall be made to a Holder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2.10, 3.06 or 11.05 hereof).</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5"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17</w:t>
      </w:r>
    </w:p>
    <w:p>
      <w:pPr>
        <w:spacing w:after="0" w:line="8" w:lineRule="exact"/>
        <w:rPr>
          <w:sz w:val="20"/>
          <w:szCs w:val="20"/>
          <w:color w:val="auto"/>
        </w:rPr>
      </w:pPr>
    </w:p>
    <w:p>
      <w:pPr>
        <w:ind w:left="540" w:right="2839" w:firstLine="830"/>
        <w:spacing w:after="0" w:line="251" w:lineRule="auto"/>
        <w:rPr>
          <w:sz w:val="20"/>
          <w:szCs w:val="20"/>
          <w:color w:val="auto"/>
        </w:rPr>
      </w:pPr>
      <w:r>
        <w:rPr>
          <w:rFonts w:ascii="Courier New" w:cs="Courier New" w:eastAsia="Courier New" w:hAnsi="Courier New"/>
          <w:sz w:val="15"/>
          <w:szCs w:val="15"/>
          <w:color w:val="auto"/>
        </w:rPr>
        <w:t>The Company shall not be required (i) to issue, register the transfer of or exchange any Note for a period beginning at the opening of business 15 days before the day of any selection of Notes to be redeemed under Section 3.02 hereof and ending at the close of business on the day of selection, or (ii) to register the transfer, or exchange, of any Note so selected for redemption in whole or in part, except the unredeemed portion of any Note being redeemed in part.</w:t>
      </w:r>
    </w:p>
    <w:p>
      <w:pPr>
        <w:spacing w:after="0" w:line="176" w:lineRule="exact"/>
        <w:rPr>
          <w:sz w:val="20"/>
          <w:szCs w:val="20"/>
          <w:color w:val="auto"/>
        </w:rPr>
      </w:pPr>
    </w:p>
    <w:p>
      <w:pPr>
        <w:ind w:left="540" w:right="2939" w:firstLine="835"/>
        <w:spacing w:after="0" w:line="250" w:lineRule="auto"/>
        <w:tabs>
          <w:tab w:leader="none" w:pos="17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to the contrary herein, so long as a Global Note remains outstanding and is held by or on behalf of the Depositary, transfers of a Global Note, in whole or in part, or of any beneficial interest therein, shall only be made in reliance on Regulation S or to QIBs in reliance on Rule 144A in accordance with Section 2.01(b), Section 2.01(d), Section 2.06(a) and Section 2.06(b); provided, however, that beneficial interests in a Global Note may be transferred to Persons who take delivery thereof in the form of a beneficial interest in the same Global Note in accordance with the transfer restrictions set forth in the Restricted Notes Legend and under the heading "Notice to Investors" in the Company's Offering Memorandum dated June 15, 2000.</w:t>
      </w:r>
    </w:p>
    <w:p>
      <w:pPr>
        <w:spacing w:after="0" w:line="182" w:lineRule="exact"/>
        <w:rPr>
          <w:rFonts w:ascii="Courier New" w:cs="Courier New" w:eastAsia="Courier New" w:hAnsi="Courier New"/>
          <w:sz w:val="15"/>
          <w:szCs w:val="15"/>
          <w:color w:val="auto"/>
        </w:rPr>
      </w:pPr>
    </w:p>
    <w:p>
      <w:pPr>
        <w:ind w:left="1840" w:right="2939" w:firstLine="274"/>
        <w:spacing w:after="0" w:line="250" w:lineRule="auto"/>
        <w:tabs>
          <w:tab w:leader="none" w:pos="2486"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Global Note to Depositary. Except for transfers or exchanges made in accordance with clauses</w:t>
      </w:r>
    </w:p>
    <w:p>
      <w:pPr>
        <w:ind w:left="1840" w:right="2839" w:hanging="3"/>
        <w:spacing w:after="0" w:line="251" w:lineRule="auto"/>
        <w:tabs>
          <w:tab w:leader="none" w:pos="230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(vii) of this Section 2.06(a), transfers of a Global Note shall be limited to transfers of such Global Note in whole, but not in part, to nominees of the Depositary or to a successor of the Depositary or such successor's nominee.</w:t>
      </w:r>
    </w:p>
    <w:p>
      <w:pPr>
        <w:spacing w:after="0" w:line="176" w:lineRule="exact"/>
        <w:rPr>
          <w:rFonts w:ascii="Courier New" w:cs="Courier New" w:eastAsia="Courier New" w:hAnsi="Courier New"/>
          <w:sz w:val="15"/>
          <w:szCs w:val="15"/>
          <w:color w:val="auto"/>
        </w:rPr>
      </w:pPr>
    </w:p>
    <w:p>
      <w:pPr>
        <w:ind w:left="1840" w:right="2839" w:firstLine="274"/>
        <w:spacing w:after="0" w:line="250" w:lineRule="auto"/>
        <w:tabs>
          <w:tab w:leader="none" w:pos="2578"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144A Global Note To Regulation S Global Note. If an owner of a beneficial interest in the Rule 144A Global Note deposited with the Depositary or the Trustee as custodian for the Depositary wishes at any time to transfer its interest in such Rule 144A Global Note in reliance on Regulation S to a Person whose purchase or acceptance thereof would not qualify as a transaction exempt from registration requirements under 144A, such owner may, subject to the rules and procedures of the Depositary, exchange or cause the exchange of such interest for an equivalent beneficial interest in the Regulation S Global Note. Upon receipt by the principal Registrar of (1) instructions given in accordance with the Depositary's procedures from an Agent Member directing the principal Registrar to credit or cause to be credited a beneficial interest in the Regulation S Global Note in an amount equal to the beneficial interest in the Rule 144A Global Note to be exchanged, (2) a written (or electronic) order given in accordance with the Depositary's procedures containing information regarding the participant account of the Depositary (and which may include the Euroclear or Clearstream account) to be credited with such increase and (3) a certificate in the form of Exhibit B attached hereto given by the holder of such account interest, then the principal Registrar shall instruct the Depositary to reduce or cause to be reduced the principal amount of the Rule 144A Global Note and to increase or cause to be increased the principal amount of the Regulation S Global Note by the aggregate principal amount of the beneficial interest in the Rule 144A Global Note equal to the beneficial interest in the Regulation S Global Note to be exchanged or transferred and to debit or cause to be debited from the account of the Person making such exchange or transfer the beneficial interest in the Rule 144A Global Note that is being exchanged or transferred.</w:t>
      </w:r>
    </w:p>
    <w:p>
      <w:pPr>
        <w:spacing w:after="0" w:line="200" w:lineRule="exact"/>
        <w:rPr>
          <w:sz w:val="20"/>
          <w:szCs w:val="20"/>
          <w:color w:val="auto"/>
        </w:rPr>
      </w:pPr>
    </w:p>
    <w:p>
      <w:pPr>
        <w:spacing w:after="0" w:line="34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39"/>
          </w:cols>
          <w:pgMar w:left="520" w:top="295"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18</w:t>
      </w:r>
    </w:p>
    <w:p>
      <w:pPr>
        <w:spacing w:after="0" w:line="185" w:lineRule="exact"/>
        <w:rPr>
          <w:sz w:val="20"/>
          <w:szCs w:val="20"/>
          <w:color w:val="auto"/>
        </w:rPr>
      </w:pPr>
    </w:p>
    <w:p>
      <w:pPr>
        <w:ind w:left="1840" w:right="2839" w:firstLine="274"/>
        <w:spacing w:after="0" w:line="250" w:lineRule="auto"/>
        <w:tabs>
          <w:tab w:leader="none" w:pos="267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 S Global Note To Rule 144A Global Note. If an owner of a beneficial interest in the Regulation S Global Note deposited with the Depositary or with the Trustee as custodian for the Depositary wishes at any time to transfer its interest in such Regulation S Global Note in reliance on Rule 144A to a Person whose purchase or acceptance thereof would not qualify as a transaction exempt from registration requirements under Regulation S, such Holder may, subject to the rules and procedures of Euroclear or Clearstream, as the case may be, and the Depositary, exchange or cause the exchange of such interest for an equivalent beneficial interest in the Rule 144A Global Note. Upon receipt by the principal Registrar of (1) instructions from the Depositary directing the principal Registrar to credit or cause to be credited a beneficial interest in the Rule 144A Global Note equal to the beneficial interest in the Regulation S Global Note to be exchanged or transferred, (2) a written (or electronic) order given in accordance with the Depositary's procedures containing information regarding the participant account of the Depositary to be credited and (3) a certificate in the form of Exhibit C attached hereto given by the owner of such account interest then the principal Registrar will instruct the Depositary to reduce or cause to be reduced the Regulation S Global Note and to increase or cause to be increased the principal amount of the Rule 144A Global Note by the aggregate principal amount of the beneficial interest in the Regulation S Global Note to be exchanged or transferred.</w:t>
      </w:r>
    </w:p>
    <w:p>
      <w:pPr>
        <w:spacing w:after="0" w:line="200" w:lineRule="exact"/>
        <w:rPr>
          <w:rFonts w:ascii="Courier New" w:cs="Courier New" w:eastAsia="Courier New" w:hAnsi="Courier New"/>
          <w:sz w:val="15"/>
          <w:szCs w:val="15"/>
          <w:color w:val="auto"/>
        </w:rPr>
      </w:pPr>
    </w:p>
    <w:p>
      <w:pPr>
        <w:spacing w:after="0" w:line="345" w:lineRule="exact"/>
        <w:rPr>
          <w:rFonts w:ascii="Courier New" w:cs="Courier New" w:eastAsia="Courier New" w:hAnsi="Courier New"/>
          <w:sz w:val="15"/>
          <w:szCs w:val="15"/>
          <w:color w:val="auto"/>
        </w:rPr>
      </w:pPr>
    </w:p>
    <w:p>
      <w:pPr>
        <w:ind w:left="1840" w:right="2839" w:firstLine="274"/>
        <w:spacing w:after="0" w:line="250" w:lineRule="auto"/>
        <w:tabs>
          <w:tab w:leader="none" w:pos="257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Accredited Investor Restricted Note or Other Restricted Note to Rule 144A Global Note. If an owner of an Accredited Investor Restricted Note or Other Restricted Note registered in the name of such owner wishes at any time to transfer such Restricted Note to a Person in reliance on Rule 144A, such Holder may, subject to the rules and procedures of the Depositary, exchange or cause the exchange of such Restricted Note for an equivalent beneficial interest in the Rule 144A Global Note. Upon receipt by the principal Registrar of (1) surrender of the Restricted Note to be transferred or exchanged, (2) instructions from the Company, directing the principal Registrar (A) to credit or cause to be credited a beneficial interest in the Rule 144A Global Note equal to the principal amount of the Restricted Note to be exchanged or transferred and (B) to cancel such Restricted Note to be exchanged or transferred, (3) a written (or electronic) order given in accordance with the Depositary's procedures containing information regarding the participant account of the Depositary to be credited and (4) a certificate in the form of Exhibit C attached hereto given by the Holder of such Restricted Note, then the principal Registrar will instruct the Trustee to cancel such Restricted Note and will instruct the Depositary to increase or cause to be increased the principal amount of the Rule 144A Global Note by the principal amount of the Restricted Note to be exchanged or transferred.</w:t>
      </w:r>
    </w:p>
    <w:p>
      <w:pPr>
        <w:spacing w:after="0" w:line="367" w:lineRule="exact"/>
        <w:rPr>
          <w:rFonts w:ascii="Courier New" w:cs="Courier New" w:eastAsia="Courier New" w:hAnsi="Courier New"/>
          <w:sz w:val="15"/>
          <w:szCs w:val="15"/>
          <w:color w:val="auto"/>
        </w:rPr>
      </w:pPr>
    </w:p>
    <w:p>
      <w:pPr>
        <w:ind w:left="1840" w:right="2839" w:firstLine="274"/>
        <w:spacing w:after="0" w:line="251" w:lineRule="auto"/>
        <w:tabs>
          <w:tab w:leader="none" w:pos="248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Accredited Investor Restricted or Other Restricted Note To Regulation S Global Note. If an owner of a Restricted Note registered in the name of such owner wishes at any time to transfer such Restricted Note to a Person in reliance on Regulation S, such owner may, subject to the rules and procedures of the Euroclear or Clearstream, as the case may be, exchange or cause the exchange of such Restricted Note for an equivalent beneficial interest in the Regulation S Global Note. Upon</w:t>
      </w:r>
    </w:p>
    <w:p>
      <w:pPr>
        <w:sectPr>
          <w:pgSz w:w="11900" w:h="16838" w:orient="portrait"/>
          <w:cols w:equalWidth="0" w:num="1">
            <w:col w:w="9939"/>
          </w:cols>
          <w:pgMar w:left="520" w:top="295"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939"/>
          </w:cols>
          <w:pgMar w:left="520" w:top="295" w:right="1440" w:bottom="1440" w:gutter="0" w:footer="0" w:header="0"/>
          <w:type w:val="continuous"/>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19</w:t>
      </w:r>
    </w:p>
    <w:p>
      <w:pPr>
        <w:spacing w:after="0" w:line="8" w:lineRule="exact"/>
        <w:rPr>
          <w:sz w:val="20"/>
          <w:szCs w:val="20"/>
          <w:color w:val="auto"/>
        </w:rPr>
      </w:pPr>
    </w:p>
    <w:p>
      <w:pPr>
        <w:ind w:left="1840" w:right="2839"/>
        <w:spacing w:after="0" w:line="250" w:lineRule="auto"/>
        <w:rPr>
          <w:sz w:val="20"/>
          <w:szCs w:val="20"/>
          <w:color w:val="auto"/>
        </w:rPr>
      </w:pPr>
      <w:r>
        <w:rPr>
          <w:rFonts w:ascii="Courier New" w:cs="Courier New" w:eastAsia="Courier New" w:hAnsi="Courier New"/>
          <w:sz w:val="15"/>
          <w:szCs w:val="15"/>
          <w:color w:val="auto"/>
        </w:rPr>
        <w:t>receipt by the principal Registrar of (1) surrender of the Restricted Note to be transferred or exchanged, (2) instructions from the Company, directing the principal Registrar (A) to credit or cause to be credited a beneficial interest in the Regulation S Global Note equal to the principal amount of the Restricted Note to be exchanged or transferred and (B) to cancel such Restricted Note to be exchanged or transferred, (3) a written (or electronic) order given in accordance with the Depositary's procedures containing information regarding the participant account of the Depositary (and which may include a Euroclear or Clearstream account) to be credited with such increase and (4) a certificate in the form of Exhibit B attached hereto given by the Holder of such Restricted Note, then the principal Registrar will instruct the Trustee to cancel such Restricted Note and will instruct the Depositary to increase or cause to be increased the principal amount of the Regulation S Global Note by the principal amount of the Restricted Note to be exchanged or transferred.</w:t>
      </w:r>
    </w:p>
    <w:p>
      <w:pPr>
        <w:spacing w:after="0" w:line="186" w:lineRule="exact"/>
        <w:rPr>
          <w:sz w:val="20"/>
          <w:szCs w:val="20"/>
          <w:color w:val="auto"/>
        </w:rPr>
      </w:pPr>
    </w:p>
    <w:p>
      <w:pPr>
        <w:ind w:left="1840" w:right="2839" w:firstLine="274"/>
        <w:spacing w:after="0" w:line="250" w:lineRule="auto"/>
        <w:tabs>
          <w:tab w:leader="none" w:pos="257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Note To Restricted Note. On and after such time as owners of beneficial interests in Global Notes are permitted under Section 2.01(d) to exchange their interests in Global Notes for certificated Notes, if an owner of a beneficial interest in a Global Note deposited with the Depositary or with the Trustee as custodian for the Depositary wishes to transfer its interest in such Global Note to a Person who is required to take delivery thereof in the form of a Restricted Note under Section 2.06(b), such owner may, subject to the rules and procedures of the Depositary, cause the transfer of such interest for one or more Restricted Notes of any authorized denomination or denominations and of the same aggregate principal amount. Subject to the terms of Section 2.01(d) regarding the circumstances under which owners of beneficial interests in Global Notes are entitled to exchange such interests for certificated Notes, upon receipt by the principal Registrar of (1) instructions from the Depositary directing the principal Registrar to authenticate and deliver one or more Restricted Notes of the same aggregate principal amount as the beneficial interest in the Global Note to be transfered, such instructions to contain the name or names of the designated transferee or transferees, the authorized denomination or denominations of the Restricted Notes to be so issued and appropriate delivery instructions, (2) a certificate in the form of Exhibit D attached hereto given by the owner of such beneficial interest to the effect set forth therein, (3) a certificate in the form of Exhibit E attached hereto given by the Person acquiring the Restricted Notes for which such interest is being transferred, to the effect set forth therein, and (4) such other certifications, legal opinions or other information as the Company may reasonably require to confirm that such transfer is being made pursuant to an exemption from, or in a transaction not subject to, the registration requirements of the Securities Act, then the principal Registrar will instruct the Depositary to reduce or cause to be reduced such Global Note by the aggregate principal amount of the beneficial interest therein to be exchanged and to debit or cause to be debited from the account of the Person making such transfer the beneficial interest in the Global Note that is being transferred, and concurrently with such reduction and debit the Company shall execute, and the Trustee shall authenticate and deliver, one or more Restricted Notes of the same aggregate principal amount in accordance with the instructions referred to above. In the event that certificated Notes are issued in place of beneficial interests in Global Notes pursuant to 2.01(d) prior to the effectiveness of a Shelf</w:t>
      </w:r>
    </w:p>
    <w:p>
      <w:pPr>
        <w:sectPr>
          <w:pgSz w:w="11900" w:h="16838" w:orient="portrait"/>
          <w:cols w:equalWidth="0" w:num="1">
            <w:col w:w="9939"/>
          </w:cols>
          <w:pgMar w:left="520" w:top="295" w:right="1440" w:bottom="1440" w:gutter="0" w:footer="0" w:header="0"/>
        </w:sectPr>
      </w:pPr>
    </w:p>
    <w:p>
      <w:pPr>
        <w:spacing w:after="0" w:line="3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39"/>
          </w:cols>
          <w:pgMar w:left="520" w:top="295" w:right="1440" w:bottom="1440" w:gutter="0" w:footer="0" w:header="0"/>
          <w:type w:val="continuous"/>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20</w:t>
      </w:r>
    </w:p>
    <w:p>
      <w:pPr>
        <w:spacing w:after="0" w:line="8" w:lineRule="exact"/>
        <w:rPr>
          <w:sz w:val="20"/>
          <w:szCs w:val="20"/>
          <w:color w:val="auto"/>
        </w:rPr>
      </w:pPr>
    </w:p>
    <w:p>
      <w:pPr>
        <w:ind w:left="1840" w:right="2839"/>
        <w:spacing w:after="0" w:line="251" w:lineRule="auto"/>
        <w:rPr>
          <w:sz w:val="20"/>
          <w:szCs w:val="20"/>
          <w:color w:val="auto"/>
        </w:rPr>
      </w:pPr>
      <w:r>
        <w:rPr>
          <w:rFonts w:ascii="Courier New" w:cs="Courier New" w:eastAsia="Courier New" w:hAnsi="Courier New"/>
          <w:sz w:val="15"/>
          <w:szCs w:val="15"/>
          <w:color w:val="auto"/>
        </w:rPr>
        <w:t>Registration Statement with respect to such Notes, such Notes may be exchanged only in accordance with such procedures as are substantially consistent with the provisions of clauses (ii) and (iii) above (including the certification requirements intended to ensure that such transfers comply with Rule 144A, Regulation S, Rule 144, or any other available exemption from registration, as the case may be) and such other procedures as may from time to time be adopted by the Company.</w:t>
      </w:r>
    </w:p>
    <w:p>
      <w:pPr>
        <w:spacing w:after="0" w:line="352" w:lineRule="exact"/>
        <w:rPr>
          <w:sz w:val="20"/>
          <w:szCs w:val="20"/>
          <w:color w:val="auto"/>
        </w:rPr>
      </w:pPr>
    </w:p>
    <w:p>
      <w:pPr>
        <w:ind w:left="1840" w:right="2839" w:firstLine="274"/>
        <w:spacing w:after="0" w:line="250" w:lineRule="auto"/>
        <w:tabs>
          <w:tab w:leader="none" w:pos="267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Note To Restricted Note. On and after such time as Holders of Accredited Investor Restricted Notes or other Restricted Notes are permitted to transfer such Notes other than in reliance on Regulation S or to QIBs in reliance on Rule 144A in certificated form pursuant to Section 2.01(d), if a Holder of a Restricted Note wishes to transfer such Restricted Note to a Person who is required to take delivery thereof in the form of a Restricted Note, such Holder may, subject to the restrictions on transfer set forth herein and in such Restricted Note, cause the exchange of such Restricted Note for one or more Restricted Notes of any authorized denomination or denominations and of the same aggregate principal amount. Upon receipt by the principal Registrar of (1) such Restricted Note, duly endorsed as provided herein, (2) instructions from such Holder directing the principal Registrar to authenticate and deliver one or more Restricted Notes of the same aggregate principal amount as the Restricted Note to be exchanged, such instructions to contain the name or authorized denomination or denominations of the Restricted Notes to be so issued and appropriate delivery instructions, (3) a certificate from the Holder of the Restricted Note to be exchanged in the form of Exhibit D attached hereto, (4) a certificate in the form of Exhibit E attached hereto given by the Person acquiring the Restricted Notes for which such interest is being exchanged, if such Person is an "accredited investor" as defined and to the effect set forth therein, and (5) such other certifications, legal opinions or other information as the Company may reasonably require to confirm that such transfer is being made pursuant to an exemption from, or in a transaction not subject to, the registration requirements of the Securities Act, then the Registrar shall cancel or cause to be canceled such Restricted Note and concurrently therewith, the Company shall execute, and the Trustee shall authenticate and deliver, one or more Restricted Notes of the same aggregate principal amount, in accordance with the instructions referred to above.</w:t>
      </w:r>
    </w:p>
    <w:p>
      <w:pPr>
        <w:spacing w:after="0" w:line="194" w:lineRule="exact"/>
        <w:rPr>
          <w:rFonts w:ascii="Courier New" w:cs="Courier New" w:eastAsia="Courier New" w:hAnsi="Courier New"/>
          <w:sz w:val="15"/>
          <w:szCs w:val="15"/>
          <w:color w:val="auto"/>
        </w:rPr>
      </w:pPr>
    </w:p>
    <w:p>
      <w:pPr>
        <w:ind w:left="1560" w:right="2939" w:firstLine="277"/>
        <w:spacing w:after="0" w:line="251" w:lineRule="auto"/>
        <w:tabs>
          <w:tab w:leader="none" w:pos="220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sale of a Note bearing the Restricted Notes Legend (or any interest in a Global Note subject to the Restricted Notes Legend) pursuant to Rule 144 under the Securities Act or an effective registration statement under the Securities Act:</w:t>
      </w:r>
    </w:p>
    <w:p>
      <w:pPr>
        <w:spacing w:after="0" w:line="176" w:lineRule="exact"/>
        <w:rPr>
          <w:rFonts w:ascii="Courier New" w:cs="Courier New" w:eastAsia="Courier New" w:hAnsi="Courier New"/>
          <w:sz w:val="15"/>
          <w:szCs w:val="15"/>
          <w:color w:val="auto"/>
        </w:rPr>
      </w:pPr>
    </w:p>
    <w:p>
      <w:pPr>
        <w:ind w:left="1840" w:right="2839" w:firstLine="274"/>
        <w:spacing w:after="0" w:line="250" w:lineRule="auto"/>
        <w:tabs>
          <w:tab w:leader="none" w:pos="2486"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 the case of any Note that is a certificated Note or a beneficial interest in a Global Note, the Registrar shall permit the Holder thereof to exchange such Note or interest for a certificated Note or a beneficial interest in a Global Note, as the case may be, that does not bear or is subject to, as the case may be, the legend set forth above and rescind any restriction on the transfer of such Note or interest (1) in the case of a sale or transfer pursuant to Rule 144 under the Securities Act, upon delivery to the Company such satisfactory evidence, which may include an opinion of counsel licensed to practice law in the State of New York, as may be reasonably required by the Company, that neither the legend nor the restrictions on transfer set</w:t>
      </w:r>
    </w:p>
    <w:p>
      <w:pPr>
        <w:sectPr>
          <w:pgSz w:w="11900" w:h="16838" w:orient="portrait"/>
          <w:cols w:equalWidth="0" w:num="1">
            <w:col w:w="9939"/>
          </w:cols>
          <w:pgMar w:left="520" w:top="295"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39"/>
          </w:cols>
          <w:pgMar w:left="520" w:top="295" w:right="1440" w:bottom="1440" w:gutter="0" w:footer="0" w:header="0"/>
          <w:type w:val="continuous"/>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21</w:t>
      </w:r>
    </w:p>
    <w:p>
      <w:pPr>
        <w:spacing w:after="0" w:line="8" w:lineRule="exact"/>
        <w:rPr>
          <w:sz w:val="20"/>
          <w:szCs w:val="20"/>
          <w:color w:val="auto"/>
        </w:rPr>
      </w:pPr>
    </w:p>
    <w:p>
      <w:pPr>
        <w:ind w:left="2120" w:right="2839"/>
        <w:spacing w:after="0" w:line="251" w:lineRule="auto"/>
        <w:rPr>
          <w:sz w:val="20"/>
          <w:szCs w:val="20"/>
          <w:color w:val="auto"/>
        </w:rPr>
      </w:pPr>
      <w:r>
        <w:rPr>
          <w:rFonts w:ascii="Courier New" w:cs="Courier New" w:eastAsia="Courier New" w:hAnsi="Courier New"/>
          <w:sz w:val="15"/>
          <w:szCs w:val="15"/>
          <w:color w:val="auto"/>
        </w:rPr>
        <w:t>forth therein are required to ensure that transfers thereof comply with the provisions of Rule 144A, Rule 144, Regulation S or any other available exemption from registration under the Securities Act or, with respect to Restricted Notes, that such Notes are not "restricted" within the meaning of Rule 144 under the Securities Act or (2) in the case of a sale or transfer pursuant to an effective registration statement under the Securities Act; and</w:t>
      </w:r>
    </w:p>
    <w:p>
      <w:pPr>
        <w:spacing w:after="0" w:line="175" w:lineRule="exact"/>
        <w:rPr>
          <w:sz w:val="20"/>
          <w:szCs w:val="20"/>
          <w:color w:val="auto"/>
        </w:rPr>
      </w:pPr>
    </w:p>
    <w:p>
      <w:pPr>
        <w:ind w:left="2120" w:right="2939" w:firstLine="274"/>
        <w:spacing w:after="0" w:line="251" w:lineRule="auto"/>
        <w:tabs>
          <w:tab w:leader="none" w:pos="285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Global Note shall not be subject to the Restricted Notes Legend (such sales or transfers being subject only to the provisions of Section 2.06(a)(i) and Section 2.01(d)).</w:t>
      </w:r>
    </w:p>
    <w:p>
      <w:pPr>
        <w:spacing w:after="0" w:line="354" w:lineRule="exact"/>
        <w:rPr>
          <w:sz w:val="20"/>
          <w:szCs w:val="20"/>
          <w:color w:val="auto"/>
        </w:rPr>
      </w:pPr>
    </w:p>
    <w:p>
      <w:pPr>
        <w:jc w:val="both"/>
        <w:ind w:left="820" w:right="2839" w:firstLine="830"/>
        <w:spacing w:after="0" w:line="252" w:lineRule="auto"/>
        <w:rPr>
          <w:sz w:val="20"/>
          <w:szCs w:val="20"/>
          <w:color w:val="auto"/>
        </w:rPr>
      </w:pPr>
      <w:r>
        <w:rPr>
          <w:rFonts w:ascii="Courier New" w:cs="Courier New" w:eastAsia="Courier New" w:hAnsi="Courier New"/>
          <w:sz w:val="15"/>
          <w:szCs w:val="15"/>
          <w:color w:val="auto"/>
        </w:rPr>
        <w:t>Upon provision of such satisfactory evidence, the Trustee, at the direction of the Company, shall authenticate and deliver Notes that do not bear the Restricted Notes Legend.</w:t>
      </w:r>
    </w:p>
    <w:p>
      <w:pPr>
        <w:spacing w:after="0" w:line="175" w:lineRule="exact"/>
        <w:rPr>
          <w:sz w:val="20"/>
          <w:szCs w:val="20"/>
          <w:color w:val="auto"/>
        </w:rPr>
      </w:pPr>
    </w:p>
    <w:p>
      <w:pPr>
        <w:ind w:left="820" w:right="2839" w:firstLine="835"/>
        <w:spacing w:after="0" w:line="251" w:lineRule="auto"/>
        <w:tabs>
          <w:tab w:leader="none" w:pos="20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the Trustee shall have any responsibility for any actions taken or not taken by the Depositary and the Company shall have no responsibility for any actions taken or not taken by the Trustee as agent or custodian of the Depositary.</w:t>
      </w:r>
    </w:p>
    <w:p>
      <w:pPr>
        <w:spacing w:after="0" w:line="176" w:lineRule="exact"/>
        <w:rPr>
          <w:rFonts w:ascii="Courier New" w:cs="Courier New" w:eastAsia="Courier New" w:hAnsi="Courier New"/>
          <w:sz w:val="15"/>
          <w:szCs w:val="15"/>
          <w:color w:val="auto"/>
        </w:rPr>
      </w:pPr>
    </w:p>
    <w:p>
      <w:pPr>
        <w:ind w:left="820" w:right="2839" w:firstLine="835"/>
        <w:spacing w:after="0" w:line="250" w:lineRule="auto"/>
        <w:tabs>
          <w:tab w:leader="none" w:pos="20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contained herein to the contrary, neither the Trustee nor the Note Registrar shall be responsible for ascertaining whether any purchase or transfer complies with the registration provisions of or exemptions from the Securities Act, Rule 144A, Rule 144, Regulation S, or any applicable state securities laws; provided, that if a certificate or other written representation is specifically required by the express terms of this Section 2.06 to be delivered to the Registrar or Trustee by a transferee of a Note prior to registration of such transfer, the Trustee or Note Registrar, as the case may be, shall be under a duty to receive and examine the same to determine whether it conforms on its face to the requirements of this Section 2.06.</w:t>
      </w:r>
    </w:p>
    <w:p>
      <w:pPr>
        <w:spacing w:after="0" w:line="360" w:lineRule="exact"/>
        <w:rPr>
          <w:rFonts w:ascii="Courier New" w:cs="Courier New" w:eastAsia="Courier New" w:hAnsi="Courier New"/>
          <w:sz w:val="15"/>
          <w:szCs w:val="15"/>
          <w:color w:val="auto"/>
        </w:rPr>
      </w:pPr>
    </w:p>
    <w:p>
      <w:pPr>
        <w:jc w:val="both"/>
        <w:ind w:left="820" w:right="3119" w:firstLine="835"/>
        <w:spacing w:after="0" w:line="252" w:lineRule="auto"/>
        <w:tabs>
          <w:tab w:leader="none" w:pos="20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of any Notes in certificated form not bearing the Restricted Notes Legend shall not be subject to the restrictions and requirements set forth in Section 2.06(a)(vii).</w:t>
      </w:r>
    </w:p>
    <w:p>
      <w:pPr>
        <w:spacing w:after="0" w:line="174" w:lineRule="exact"/>
        <w:rPr>
          <w:rFonts w:ascii="Courier New" w:cs="Courier New" w:eastAsia="Courier New" w:hAnsi="Courier New"/>
          <w:sz w:val="15"/>
          <w:szCs w:val="15"/>
          <w:color w:val="auto"/>
        </w:rPr>
      </w:pPr>
    </w:p>
    <w:p>
      <w:pPr>
        <w:ind w:left="820" w:right="2839" w:firstLine="835"/>
        <w:spacing w:after="0" w:line="251" w:lineRule="auto"/>
        <w:tabs>
          <w:tab w:leader="none" w:pos="20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transfer or exchange of a Note in certificated form shall be accompanied by surrender of the certificated Note, endorsed or accompanied by an instrument of transfer acceptable to the Registrar, executed by the Holder or an attorney in fact acting on its behalf.</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2.07.</w:t>
      </w:r>
      <w:r>
        <w:rPr>
          <w:sz w:val="20"/>
          <w:szCs w:val="20"/>
          <w:color w:val="auto"/>
        </w:rPr>
        <w:tab/>
      </w:r>
      <w:r>
        <w:rPr>
          <w:rFonts w:ascii="Courier New" w:cs="Courier New" w:eastAsia="Courier New" w:hAnsi="Courier New"/>
          <w:sz w:val="15"/>
          <w:szCs w:val="15"/>
          <w:color w:val="auto"/>
        </w:rPr>
        <w:t>REPLACEMENT NOTES.</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If the Holder of a Note claims that the Note has been lost, destroyed or wrongfully taken or if such Note is mutilated and is surrendered to the Trustee, the Company shall issue and the Trustee shall authenticate a replacement Note if the Trustee's and the Company's requirements are met. If required by the Trustee or the Company, an indemnity bond must be supplied by the Holder that is sufficient in the judgment of both to protect the Company, the Trustee, any Agent or any authenticating agent from any loss which any of them may suffer if a Note is replaced. The Company may charge for its expenses in replacing a Note.</w:t>
      </w:r>
    </w:p>
    <w:p>
      <w:pPr>
        <w:spacing w:after="0" w:line="359" w:lineRule="exact"/>
        <w:rPr>
          <w:sz w:val="20"/>
          <w:szCs w:val="20"/>
          <w:color w:val="auto"/>
        </w:rPr>
      </w:pPr>
    </w:p>
    <w:p>
      <w:pPr>
        <w:ind w:left="820" w:right="2839" w:firstLine="830"/>
        <w:spacing w:after="0" w:line="252" w:lineRule="auto"/>
        <w:rPr>
          <w:sz w:val="20"/>
          <w:szCs w:val="20"/>
          <w:color w:val="auto"/>
        </w:rPr>
      </w:pPr>
      <w:r>
        <w:rPr>
          <w:rFonts w:ascii="Courier New" w:cs="Courier New" w:eastAsia="Courier New" w:hAnsi="Courier New"/>
          <w:sz w:val="15"/>
          <w:szCs w:val="15"/>
          <w:color w:val="auto"/>
        </w:rPr>
        <w:t>In case any such mutilated, destroyed, lost or stolen Note has become or is about to become due and payable, or is about to be purchased by the Company pursuant to Article III</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5"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22</w:t>
      </w:r>
    </w:p>
    <w:p>
      <w:pPr>
        <w:spacing w:after="0" w:line="8" w:lineRule="exact"/>
        <w:rPr>
          <w:sz w:val="20"/>
          <w:szCs w:val="20"/>
          <w:color w:val="auto"/>
        </w:rPr>
      </w:pPr>
    </w:p>
    <w:p>
      <w:pPr>
        <w:ind w:left="1660" w:right="2939"/>
        <w:spacing w:after="0" w:line="253" w:lineRule="auto"/>
        <w:rPr>
          <w:sz w:val="20"/>
          <w:szCs w:val="20"/>
          <w:color w:val="auto"/>
        </w:rPr>
      </w:pPr>
      <w:r>
        <w:rPr>
          <w:rFonts w:ascii="Courier New" w:cs="Courier New" w:eastAsia="Courier New" w:hAnsi="Courier New"/>
          <w:sz w:val="15"/>
          <w:szCs w:val="15"/>
          <w:color w:val="auto"/>
        </w:rPr>
        <w:t>hereof, the Company in its discretion may, instead of issuing a new Note, pay or purchase such Note, as the case may be.</w:t>
      </w:r>
    </w:p>
    <w:p>
      <w:pPr>
        <w:spacing w:after="0" w:line="352" w:lineRule="exact"/>
        <w:rPr>
          <w:sz w:val="20"/>
          <w:szCs w:val="20"/>
          <w:color w:val="auto"/>
        </w:rPr>
      </w:pPr>
    </w:p>
    <w:p>
      <w:pPr>
        <w:ind w:left="820" w:right="2839" w:firstLine="830"/>
        <w:spacing w:after="0" w:line="252" w:lineRule="auto"/>
        <w:rPr>
          <w:sz w:val="20"/>
          <w:szCs w:val="20"/>
          <w:color w:val="auto"/>
        </w:rPr>
      </w:pPr>
      <w:r>
        <w:rPr>
          <w:rFonts w:ascii="Courier New" w:cs="Courier New" w:eastAsia="Courier New" w:hAnsi="Courier New"/>
          <w:sz w:val="15"/>
          <w:szCs w:val="15"/>
          <w:color w:val="auto"/>
        </w:rPr>
        <w:t>Every replacement Note is an additional obligation of the Company and shall be entitled to all of the benefits of this Indenture equally and proportionately with all other Notes duly issued hereunder.</w:t>
      </w:r>
    </w:p>
    <w:p>
      <w:pPr>
        <w:spacing w:after="0" w:line="17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2.08.</w:t>
      </w:r>
      <w:r>
        <w:rPr>
          <w:sz w:val="20"/>
          <w:szCs w:val="20"/>
          <w:color w:val="auto"/>
        </w:rPr>
        <w:tab/>
      </w:r>
      <w:r>
        <w:rPr>
          <w:rFonts w:ascii="Courier New" w:cs="Courier New" w:eastAsia="Courier New" w:hAnsi="Courier New"/>
          <w:sz w:val="15"/>
          <w:szCs w:val="15"/>
          <w:color w:val="auto"/>
        </w:rPr>
        <w:t>OUTSTANDING NOTES.</w:t>
      </w:r>
    </w:p>
    <w:p>
      <w:pPr>
        <w:spacing w:after="0" w:line="362" w:lineRule="exact"/>
        <w:rPr>
          <w:sz w:val="20"/>
          <w:szCs w:val="20"/>
          <w:color w:val="auto"/>
        </w:rPr>
      </w:pPr>
    </w:p>
    <w:p>
      <w:pPr>
        <w:ind w:left="820" w:right="3019" w:firstLine="830"/>
        <w:spacing w:after="0" w:line="251" w:lineRule="auto"/>
        <w:rPr>
          <w:sz w:val="20"/>
          <w:szCs w:val="20"/>
          <w:color w:val="auto"/>
        </w:rPr>
      </w:pPr>
      <w:r>
        <w:rPr>
          <w:rFonts w:ascii="Courier New" w:cs="Courier New" w:eastAsia="Courier New" w:hAnsi="Courier New"/>
          <w:sz w:val="15"/>
          <w:szCs w:val="15"/>
          <w:color w:val="auto"/>
        </w:rPr>
        <w:t>The Notes outstanding at any time are all the Notes authenticated by the Trustee except for those canceled by it, those delivered to it for cancellation, and those described in this Section as not outstanding.</w:t>
      </w:r>
    </w:p>
    <w:p>
      <w:pPr>
        <w:spacing w:after="0" w:line="354" w:lineRule="exact"/>
        <w:rPr>
          <w:sz w:val="20"/>
          <w:szCs w:val="20"/>
          <w:color w:val="auto"/>
        </w:rPr>
      </w:pPr>
    </w:p>
    <w:p>
      <w:pPr>
        <w:jc w:val="both"/>
        <w:ind w:left="820" w:right="3019" w:firstLine="830"/>
        <w:spacing w:after="0" w:line="251" w:lineRule="auto"/>
        <w:rPr>
          <w:sz w:val="20"/>
          <w:szCs w:val="20"/>
          <w:color w:val="auto"/>
        </w:rPr>
      </w:pPr>
      <w:r>
        <w:rPr>
          <w:rFonts w:ascii="Courier New" w:cs="Courier New" w:eastAsia="Courier New" w:hAnsi="Courier New"/>
          <w:sz w:val="15"/>
          <w:szCs w:val="15"/>
          <w:color w:val="auto"/>
        </w:rPr>
        <w:t>If a Note is replaced, paid or purchased pursuant to Section 2.07 hereof, it ceases to be outstanding unless the Trustee receives proof satisfactory to it that the replaced, paid or purchased Note is held by a bona fide purchaser.</w:t>
      </w:r>
    </w:p>
    <w:p>
      <w:pPr>
        <w:spacing w:after="0" w:line="354" w:lineRule="exact"/>
        <w:rPr>
          <w:sz w:val="20"/>
          <w:szCs w:val="20"/>
          <w:color w:val="auto"/>
        </w:rPr>
      </w:pPr>
    </w:p>
    <w:p>
      <w:pPr>
        <w:ind w:left="820" w:right="3019" w:firstLine="830"/>
        <w:spacing w:after="0" w:line="252" w:lineRule="auto"/>
        <w:rPr>
          <w:sz w:val="20"/>
          <w:szCs w:val="20"/>
          <w:color w:val="auto"/>
        </w:rPr>
      </w:pPr>
      <w:r>
        <w:rPr>
          <w:rFonts w:ascii="Courier New" w:cs="Courier New" w:eastAsia="Courier New" w:hAnsi="Courier New"/>
          <w:sz w:val="15"/>
          <w:szCs w:val="15"/>
          <w:color w:val="auto"/>
        </w:rPr>
        <w:t>If the principal amount of any Note is considered paid under Section 4.01 hereof, it ceases to be outstanding and interest on it ceases to accrue.</w:t>
      </w:r>
    </w:p>
    <w:p>
      <w:pPr>
        <w:spacing w:after="0" w:line="352" w:lineRule="exact"/>
        <w:rPr>
          <w:sz w:val="20"/>
          <w:szCs w:val="20"/>
          <w:color w:val="auto"/>
        </w:rPr>
      </w:pPr>
    </w:p>
    <w:p>
      <w:pPr>
        <w:ind w:left="820" w:right="3119" w:firstLine="830"/>
        <w:spacing w:after="0" w:line="252" w:lineRule="auto"/>
        <w:rPr>
          <w:sz w:val="20"/>
          <w:szCs w:val="20"/>
          <w:color w:val="auto"/>
        </w:rPr>
      </w:pPr>
      <w:r>
        <w:rPr>
          <w:rFonts w:ascii="Courier New" w:cs="Courier New" w:eastAsia="Courier New" w:hAnsi="Courier New"/>
          <w:sz w:val="15"/>
          <w:szCs w:val="15"/>
          <w:color w:val="auto"/>
        </w:rPr>
        <w:t>Except as set forth in Section 2.09 hereof, a Note does not cease to be outstanding because the Company or an Affiliate of the Company holds the Note.</w:t>
      </w:r>
    </w:p>
    <w:p>
      <w:pPr>
        <w:spacing w:after="0" w:line="17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2.09.</w:t>
      </w:r>
      <w:r>
        <w:rPr>
          <w:sz w:val="20"/>
          <w:szCs w:val="20"/>
          <w:color w:val="auto"/>
        </w:rPr>
        <w:tab/>
      </w:r>
      <w:r>
        <w:rPr>
          <w:rFonts w:ascii="Courier New" w:cs="Courier New" w:eastAsia="Courier New" w:hAnsi="Courier New"/>
          <w:sz w:val="15"/>
          <w:szCs w:val="15"/>
          <w:color w:val="auto"/>
        </w:rPr>
        <w:t>TREASURY NOTES.</w:t>
      </w:r>
    </w:p>
    <w:p>
      <w:pPr>
        <w:spacing w:after="0" w:line="362" w:lineRule="exact"/>
        <w:rPr>
          <w:sz w:val="20"/>
          <w:szCs w:val="20"/>
          <w:color w:val="auto"/>
        </w:rPr>
      </w:pPr>
    </w:p>
    <w:p>
      <w:pPr>
        <w:ind w:left="820" w:right="3019" w:firstLine="830"/>
        <w:spacing w:after="0" w:line="251" w:lineRule="auto"/>
        <w:rPr>
          <w:sz w:val="20"/>
          <w:szCs w:val="20"/>
          <w:color w:val="auto"/>
        </w:rPr>
      </w:pPr>
      <w:r>
        <w:rPr>
          <w:rFonts w:ascii="Courier New" w:cs="Courier New" w:eastAsia="Courier New" w:hAnsi="Courier New"/>
          <w:sz w:val="15"/>
          <w:szCs w:val="15"/>
          <w:color w:val="auto"/>
        </w:rPr>
        <w:t>In determining whether the Holders of the required principal amount of Notes have concurred in any direction, waiver or consent, Notes owned by the Company or an Affiliate of the Company shall be considered as though they are not outstanding, except that for the purposes of determining whether the Trustee shall be protected in relying on any such direction, waiver or consent, only Notes that the Trustee knows are so owned shall be so disregarded.</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2.10.</w:t>
      </w:r>
      <w:r>
        <w:rPr>
          <w:sz w:val="20"/>
          <w:szCs w:val="20"/>
          <w:color w:val="auto"/>
        </w:rPr>
        <w:tab/>
      </w:r>
      <w:r>
        <w:rPr>
          <w:rFonts w:ascii="Courier New" w:cs="Courier New" w:eastAsia="Courier New" w:hAnsi="Courier New"/>
          <w:sz w:val="15"/>
          <w:szCs w:val="15"/>
          <w:color w:val="auto"/>
        </w:rPr>
        <w:t>TEMPORARY NOTES; GLOBAL NOTES.</w:t>
      </w:r>
    </w:p>
    <w:p>
      <w:pPr>
        <w:spacing w:after="0" w:line="185" w:lineRule="exact"/>
        <w:rPr>
          <w:sz w:val="20"/>
          <w:szCs w:val="20"/>
          <w:color w:val="auto"/>
        </w:rPr>
      </w:pPr>
    </w:p>
    <w:p>
      <w:pPr>
        <w:ind w:left="820" w:right="2839" w:firstLine="835"/>
        <w:spacing w:after="0" w:line="251" w:lineRule="auto"/>
        <w:tabs>
          <w:tab w:leader="none" w:pos="202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definitive Notes are ready for delivery, the Company may prepare and the Trustee shall authenticate temporary Notes. Temporary Notes shall be substantially in the form of definitive Notes but may have variations that the Company considers appropriate for temporary Notes. Without unreasonable delay, the Company shall prepare and the Trustee shall authenticate definitive Notes in exchange for temporary Notes. Holders of temporary Notes shall be entitled to all of the benefits of this Indenture.</w:t>
      </w:r>
    </w:p>
    <w:p>
      <w:pPr>
        <w:spacing w:after="0" w:line="175" w:lineRule="exact"/>
        <w:rPr>
          <w:rFonts w:ascii="Courier New" w:cs="Courier New" w:eastAsia="Courier New" w:hAnsi="Courier New"/>
          <w:sz w:val="15"/>
          <w:szCs w:val="15"/>
          <w:color w:val="auto"/>
        </w:rPr>
      </w:pPr>
    </w:p>
    <w:p>
      <w:pPr>
        <w:ind w:left="820" w:right="2939" w:firstLine="835"/>
        <w:spacing w:after="0" w:line="250" w:lineRule="auto"/>
        <w:tabs>
          <w:tab w:leader="none" w:pos="202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Global Note deposited with the Depositary or with the Trustee as custodian for the Depositary pursuant to Section 2.01 shall be transferred to the beneficial owners thereof in the form of certificated Notes only (i) in accordance with Section 2.01(d), and</w:t>
      </w:r>
    </w:p>
    <w:p>
      <w:pPr>
        <w:spacing w:after="0" w:line="1" w:lineRule="exact"/>
        <w:rPr>
          <w:rFonts w:ascii="Courier New" w:cs="Courier New" w:eastAsia="Courier New" w:hAnsi="Courier New"/>
          <w:sz w:val="15"/>
          <w:szCs w:val="15"/>
          <w:color w:val="auto"/>
        </w:rPr>
      </w:pPr>
    </w:p>
    <w:p>
      <w:pPr>
        <w:ind w:left="820" w:right="3759" w:firstLine="5"/>
        <w:spacing w:after="0" w:line="253" w:lineRule="auto"/>
        <w:tabs>
          <w:tab w:leader="none" w:pos="1281"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such transfer complies with the applicable provisions of Section 2.06(b).</w:t>
      </w:r>
    </w:p>
    <w:p>
      <w:pPr>
        <w:spacing w:after="0" w:line="174" w:lineRule="exact"/>
        <w:rPr>
          <w:rFonts w:ascii="Courier New" w:cs="Courier New" w:eastAsia="Courier New" w:hAnsi="Courier New"/>
          <w:sz w:val="15"/>
          <w:szCs w:val="15"/>
          <w:color w:val="auto"/>
        </w:rPr>
      </w:pPr>
    </w:p>
    <w:p>
      <w:pPr>
        <w:ind w:left="820" w:right="2839" w:firstLine="835"/>
        <w:spacing w:after="0" w:line="252" w:lineRule="auto"/>
        <w:tabs>
          <w:tab w:leader="none" w:pos="202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Global Note that is re-issued to the beneficial owners thereof in the form of certificated Notes pursuant to Section 2.01(d) and this Section 2.10 shall be surrendered by</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5"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23</w:t>
      </w:r>
    </w:p>
    <w:p>
      <w:pPr>
        <w:spacing w:after="0" w:line="8" w:lineRule="exact"/>
        <w:rPr>
          <w:sz w:val="20"/>
          <w:szCs w:val="20"/>
          <w:color w:val="auto"/>
        </w:rPr>
      </w:pPr>
    </w:p>
    <w:p>
      <w:pPr>
        <w:ind w:left="820" w:right="2839"/>
        <w:spacing w:after="0" w:line="250" w:lineRule="auto"/>
        <w:rPr>
          <w:sz w:val="20"/>
          <w:szCs w:val="20"/>
          <w:color w:val="auto"/>
        </w:rPr>
      </w:pPr>
      <w:r>
        <w:rPr>
          <w:rFonts w:ascii="Courier New" w:cs="Courier New" w:eastAsia="Courier New" w:hAnsi="Courier New"/>
          <w:sz w:val="15"/>
          <w:szCs w:val="15"/>
          <w:color w:val="auto"/>
        </w:rPr>
        <w:t>the Depositary to the Trustee to be so transferred without charge, and the Trustee shall authenticate and deliver, upon such transfer of each portion of such Global Note, an equal aggregate principal amount of Notes of authorized denominations in the form of certificated Notes. Any portion of a Global Note transferred pursuant to this Section 2.10 shall be executed, authenticated and delivered as the Depositary shall direct. Any Note in the form of certificated Notes delivered in exchange for an interest in the Global Notes shall, except as otherwise provided by Section 2.06(c), bear the Restricted Notes Legend set forth in Exhibit A hereto.</w:t>
      </w:r>
    </w:p>
    <w:p>
      <w:pPr>
        <w:spacing w:after="0" w:line="182" w:lineRule="exact"/>
        <w:rPr>
          <w:sz w:val="20"/>
          <w:szCs w:val="20"/>
          <w:color w:val="auto"/>
        </w:rPr>
      </w:pPr>
    </w:p>
    <w:p>
      <w:pPr>
        <w:ind w:left="820" w:right="2839" w:firstLine="835"/>
        <w:spacing w:after="0" w:line="251" w:lineRule="auto"/>
        <w:tabs>
          <w:tab w:leader="none" w:pos="20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any of the events set forth in Section 2.01(d) requiring the issuance of certificated Notes in place of all beneficial interests in Global Notes then outstanding, the Company will promptly make available to the Trustee a reasonable supply of certificated Notes in definitive, fully registered form without interest coupons.</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5"/>
          <w:szCs w:val="15"/>
          <w:color w:val="auto"/>
        </w:rPr>
        <w:t>CANCELLATION.</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The Company at any time may deliver Notes to the Trustee for cancellation. The Registrar, Paying Agent and Conversion Agent shall forward to the Trustee any Notes surrendered to them for registration of transfer, exchange or payment. The Trustee shall promptly cancel all Notes surrendered for registration of transfer, exchange, payment, conversion, replacement or cancellation and shall dispose of canceled Notes as the Company directs. The Company may not issue new Notes to replace Notes that it has paid or that have been delivered to the Trustee for cancellation.</w:t>
      </w:r>
    </w:p>
    <w:p>
      <w:pPr>
        <w:spacing w:after="0" w:line="17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2.12.</w:t>
      </w:r>
      <w:r>
        <w:rPr>
          <w:sz w:val="20"/>
          <w:szCs w:val="20"/>
          <w:color w:val="auto"/>
        </w:rPr>
        <w:tab/>
      </w:r>
      <w:r>
        <w:rPr>
          <w:rFonts w:ascii="Courier New" w:cs="Courier New" w:eastAsia="Courier New" w:hAnsi="Courier New"/>
          <w:sz w:val="15"/>
          <w:szCs w:val="15"/>
          <w:color w:val="auto"/>
        </w:rPr>
        <w:t>DEFAULTED INTEREST.</w:t>
      </w:r>
    </w:p>
    <w:p>
      <w:pPr>
        <w:spacing w:after="0" w:line="362" w:lineRule="exact"/>
        <w:rPr>
          <w:sz w:val="20"/>
          <w:szCs w:val="20"/>
          <w:color w:val="auto"/>
        </w:rPr>
      </w:pPr>
    </w:p>
    <w:p>
      <w:pPr>
        <w:ind w:left="820" w:right="2939" w:firstLine="830"/>
        <w:spacing w:after="0" w:line="250" w:lineRule="auto"/>
        <w:rPr>
          <w:sz w:val="20"/>
          <w:szCs w:val="20"/>
          <w:color w:val="auto"/>
        </w:rPr>
      </w:pPr>
      <w:r>
        <w:rPr>
          <w:rFonts w:ascii="Courier New" w:cs="Courier New" w:eastAsia="Courier New" w:hAnsi="Courier New"/>
          <w:sz w:val="15"/>
          <w:szCs w:val="15"/>
          <w:color w:val="auto"/>
        </w:rPr>
        <w:t>If the Company fails to make a payment of interest on the Notes, it shall pay such defaulted interest plus any interest payable on the defaulted interest, in any lawful manner. It may pay such defaulted interest, plus any such interest payable on it, to the Persons who are Holders on a subsequent special record date. The Company shall fix any such record date and payment date, provided that no such record date shall be less than 10 days prior to the related payment date for such defaulted interest. At least 15 days before any such record date, the Company shall mail to Holders a notice that states the special record date, the related payment date and amount of such interest to be paid.</w:t>
      </w:r>
    </w:p>
    <w:p>
      <w:pPr>
        <w:spacing w:after="0" w:line="182"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2.13.</w:t>
      </w:r>
      <w:r>
        <w:rPr>
          <w:sz w:val="20"/>
          <w:szCs w:val="20"/>
          <w:color w:val="auto"/>
        </w:rPr>
        <w:tab/>
      </w:r>
      <w:r>
        <w:rPr>
          <w:rFonts w:ascii="Courier New" w:cs="Courier New" w:eastAsia="Courier New" w:hAnsi="Courier New"/>
          <w:sz w:val="15"/>
          <w:szCs w:val="15"/>
          <w:color w:val="auto"/>
        </w:rPr>
        <w:t>CUSIP NUMBERS.</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The Company in issuing the Notes may use "CUSIP" numbers (if then generally in use), and, if so, the Trustee shall use "CUSIP" numbers in notices of redemption and other notices as a convenience to holders of Notes; provided, that any such notice may state that no representation is made as to the correctness of such numbers either as printed on the Notes or as contained in any notice of a redemption or notice of a Purchase Offer and that reliance may be placed only on the other identification numbers printed on the Notes, and any redemption or Purchase Offer shall not be affected by any defect in or omission of such numbers. The Company will promptly notify the Trustee of any change in the "CUSIP" numbers.</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5"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24</w:t>
      </w:r>
    </w:p>
    <w:p>
      <w:pPr>
        <w:spacing w:after="0" w:line="8"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5"/>
          <w:szCs w:val="15"/>
          <w:color w:val="auto"/>
        </w:rPr>
        <w:t>ARTICLE III</w:t>
      </w:r>
    </w:p>
    <w:p>
      <w:pPr>
        <w:spacing w:after="0" w:line="8"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5"/>
          <w:szCs w:val="15"/>
          <w:color w:val="auto"/>
        </w:rPr>
        <w:t>REDEMPTION</w:t>
      </w:r>
    </w:p>
    <w:p>
      <w:pPr>
        <w:spacing w:after="0" w:line="185"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5"/>
          <w:szCs w:val="15"/>
          <w:color w:val="auto"/>
        </w:rPr>
        <w:t>NOTICES TO TRUSTEE.</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If the Company elects to redeem Notes pursuant to the optional redemption provisions of the Notes and Section 3.07 hereof, it shall notify the Trustee in writing of the redemption date and the principal amount of Notes to be redeemed. The Company shall give the notice provided for in this Section 3.01 at least 45 days before the redemption date, unless a shorter notice period shall be satisfactory to the Trustee. The Company may not give notice of any redemption if the Company has defaulted in payment of interest and the default is continuing.</w:t>
      </w:r>
    </w:p>
    <w:p>
      <w:pPr>
        <w:spacing w:after="0" w:line="17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5"/>
          <w:szCs w:val="15"/>
          <w:color w:val="auto"/>
        </w:rPr>
        <w:t>SELECTION OF NOTES TO BE REDEEMED.</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If less than all of the Notes are to be redeemed at any time, selection of Notes shall be made by the Trustee on a pro rata basis or by lot or by a method that complies with the requirements of any exchange on which the Notes are listed and that the Trustee considers fair and appropriate, provided that no Notes of $1,000 or less shall be redeemed in part. The Trustee shall make the selection not more than 60 days and not less than 30 days before the redemption date from Notes outstanding not previously called for redemption. Notes and portions of Notes selected shall be in amounts of $1,000 or integral multiples of $1,000. Provisions of this Indenture that apply to Notes called for redemption also apply to portions of Notes called for redemption. The Trustee shall notify the Company promptly of the Notes or portions of Notes to be called for redemption.</w:t>
      </w:r>
    </w:p>
    <w:p>
      <w:pPr>
        <w:spacing w:after="0" w:line="361"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If any Note selected for partial redemption is converted in part after such selection, the converted portion of such Note shall be deemed (so far as may be) to be the portion to be selected for redemption. The Notes (or portions thereof) so selected shall be deemed duly selected for redemption for all purposes hereunder, notwithstanding that any such Note is converted in whole or in part before the mailing of the notice of redemption. Upon any redemption of less than all the Notes, the Company and the Trustee may treat as outstanding any Notes surrendered for conversion during the period 15 days next preceding the mailing of a notice of redemption and need not treat as outstanding any Note authenticated and delivered during such period in exchange for the unconverted portion of any Note converted in part during such period.</w:t>
      </w:r>
    </w:p>
    <w:p>
      <w:pPr>
        <w:spacing w:after="0" w:line="360"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5"/>
          <w:szCs w:val="15"/>
          <w:color w:val="auto"/>
        </w:rPr>
        <w:t>NOTICE OF REDEMPTION.</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At least 30 days but not more than 60 days before a redemption date, the Company shall mail, by first class mail, a notice of redemption to each Holder whose Notes are to be redeemed at its registered address. The notice shall identify the Notes to be redeemed and shall state:</w:t>
      </w:r>
    </w:p>
    <w:p>
      <w:pPr>
        <w:spacing w:after="0" w:line="176" w:lineRule="exact"/>
        <w:rPr>
          <w:sz w:val="20"/>
          <w:szCs w:val="20"/>
          <w:color w:val="auto"/>
        </w:rPr>
      </w:pPr>
    </w:p>
    <w:p>
      <w:pPr>
        <w:ind w:left="2020" w:hanging="365"/>
        <w:spacing w:after="0"/>
        <w:tabs>
          <w:tab w:leader="none" w:pos="20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84" w:lineRule="exact"/>
        <w:rPr>
          <w:rFonts w:ascii="Courier New" w:cs="Courier New" w:eastAsia="Courier New" w:hAnsi="Courier New"/>
          <w:sz w:val="15"/>
          <w:szCs w:val="15"/>
          <w:color w:val="auto"/>
        </w:rPr>
      </w:pPr>
    </w:p>
    <w:p>
      <w:pPr>
        <w:ind w:left="3600" w:right="6259" w:hanging="1945"/>
        <w:spacing w:after="0" w:line="504" w:lineRule="auto"/>
        <w:tabs>
          <w:tab w:leader="none" w:pos="203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 20</w:t>
      </w:r>
    </w:p>
    <w:p>
      <w:pPr>
        <w:sectPr>
          <w:pgSz w:w="11900" w:h="16838" w:orient="portrait"/>
          <w:cols w:equalWidth="0" w:num="1">
            <w:col w:w="10219"/>
          </w:cols>
          <w:pgMar w:left="240" w:top="295"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25</w:t>
      </w:r>
    </w:p>
    <w:p>
      <w:pPr>
        <w:spacing w:after="0" w:line="185" w:lineRule="exact"/>
        <w:rPr>
          <w:sz w:val="20"/>
          <w:szCs w:val="20"/>
          <w:color w:val="auto"/>
        </w:rPr>
      </w:pPr>
    </w:p>
    <w:p>
      <w:pPr>
        <w:ind w:left="820" w:right="2839" w:firstLine="835"/>
        <w:spacing w:after="0" w:line="251" w:lineRule="auto"/>
        <w:tabs>
          <w:tab w:leader="none" w:pos="20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Note is to be redeemed in part only, the portion of the principal amount thereof redeemed, and that, after the redemption date, upon surrender of such Note, a new Note in principal amount equal to the unredeemed portion thereof shall be issued in the name of the Holder thereof upon cancellation of the original Note;</w:t>
      </w:r>
    </w:p>
    <w:p>
      <w:pPr>
        <w:spacing w:after="0" w:line="176" w:lineRule="exact"/>
        <w:rPr>
          <w:rFonts w:ascii="Courier New" w:cs="Courier New" w:eastAsia="Courier New" w:hAnsi="Courier New"/>
          <w:sz w:val="15"/>
          <w:szCs w:val="15"/>
          <w:color w:val="auto"/>
        </w:rPr>
      </w:pPr>
    </w:p>
    <w:p>
      <w:pPr>
        <w:ind w:left="2020" w:hanging="365"/>
        <w:spacing w:after="0"/>
        <w:tabs>
          <w:tab w:leader="none" w:pos="20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Paying Agent;</w:t>
      </w:r>
    </w:p>
    <w:p>
      <w:pPr>
        <w:spacing w:after="0" w:line="184" w:lineRule="exact"/>
        <w:rPr>
          <w:rFonts w:ascii="Courier New" w:cs="Courier New" w:eastAsia="Courier New" w:hAnsi="Courier New"/>
          <w:sz w:val="15"/>
          <w:szCs w:val="15"/>
          <w:color w:val="auto"/>
        </w:rPr>
      </w:pPr>
    </w:p>
    <w:p>
      <w:pPr>
        <w:ind w:left="820" w:right="2839" w:firstLine="835"/>
        <w:spacing w:after="0" w:line="252" w:lineRule="auto"/>
        <w:tabs>
          <w:tab w:leader="none" w:pos="20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Notes called for redemption must be surrendered to the Paying Agent to collect the redemption price plus accrued interest, if any;</w:t>
      </w:r>
    </w:p>
    <w:p>
      <w:pPr>
        <w:spacing w:after="0" w:line="174" w:lineRule="exact"/>
        <w:rPr>
          <w:rFonts w:ascii="Courier New" w:cs="Courier New" w:eastAsia="Courier New" w:hAnsi="Courier New"/>
          <w:sz w:val="15"/>
          <w:szCs w:val="15"/>
          <w:color w:val="auto"/>
        </w:rPr>
      </w:pPr>
    </w:p>
    <w:p>
      <w:pPr>
        <w:ind w:left="820" w:right="3219" w:firstLine="835"/>
        <w:spacing w:after="0" w:line="253" w:lineRule="auto"/>
        <w:tabs>
          <w:tab w:leader="none" w:pos="20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interest on Notes called for redemption ceases to accrue on and after the redemption date;</w:t>
      </w:r>
    </w:p>
    <w:p>
      <w:pPr>
        <w:spacing w:after="0" w:line="174" w:lineRule="exact"/>
        <w:rPr>
          <w:rFonts w:ascii="Courier New" w:cs="Courier New" w:eastAsia="Courier New" w:hAnsi="Courier New"/>
          <w:sz w:val="15"/>
          <w:szCs w:val="15"/>
          <w:color w:val="auto"/>
        </w:rPr>
      </w:pPr>
    </w:p>
    <w:p>
      <w:pPr>
        <w:ind w:left="820" w:right="3219" w:firstLine="835"/>
        <w:spacing w:after="0" w:line="253" w:lineRule="auto"/>
        <w:tabs>
          <w:tab w:leader="none" w:pos="20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paragraph of the Notes pursuant to which the Notes called for redemption are being redeemed; and</w:t>
      </w:r>
    </w:p>
    <w:p>
      <w:pPr>
        <w:spacing w:after="0" w:line="174" w:lineRule="exact"/>
        <w:rPr>
          <w:rFonts w:ascii="Courier New" w:cs="Courier New" w:eastAsia="Courier New" w:hAnsi="Courier New"/>
          <w:sz w:val="15"/>
          <w:szCs w:val="15"/>
          <w:color w:val="auto"/>
        </w:rPr>
      </w:pPr>
    </w:p>
    <w:p>
      <w:pPr>
        <w:ind w:left="2020" w:hanging="365"/>
        <w:spacing w:after="0"/>
        <w:tabs>
          <w:tab w:leader="none" w:pos="20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"CUSIP" number of the Notes to be redeemed; and</w:t>
      </w:r>
    </w:p>
    <w:p>
      <w:pPr>
        <w:spacing w:after="0" w:line="184" w:lineRule="exact"/>
        <w:rPr>
          <w:rFonts w:ascii="Courier New" w:cs="Courier New" w:eastAsia="Courier New" w:hAnsi="Courier New"/>
          <w:sz w:val="15"/>
          <w:szCs w:val="15"/>
          <w:color w:val="auto"/>
        </w:rPr>
      </w:pPr>
    </w:p>
    <w:p>
      <w:pPr>
        <w:ind w:left="820" w:right="3119" w:firstLine="835"/>
        <w:spacing w:after="0" w:line="252" w:lineRule="auto"/>
        <w:tabs>
          <w:tab w:leader="none" w:pos="20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Conversion Price and the date on which the right to convert such Notes or portions thereof into Common Stock of the Company will expire.</w:t>
      </w:r>
    </w:p>
    <w:p>
      <w:pPr>
        <w:spacing w:after="0" w:line="35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At the Company's request, the Trustee shall give notice of redemption in the Company's name and at the Company's expense; provided that the Company shall have delivered to the Trustee, at least 45 days prior to the redemption date, an Officers' Certificate requesting that the Trustee give such notice and setting forth the information to be stated in such notice, as provided in the preceding paragraph.</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3.04.</w:t>
      </w:r>
      <w:r>
        <w:rPr>
          <w:sz w:val="20"/>
          <w:szCs w:val="20"/>
          <w:color w:val="auto"/>
        </w:rPr>
        <w:tab/>
      </w:r>
      <w:r>
        <w:rPr>
          <w:rFonts w:ascii="Courier New" w:cs="Courier New" w:eastAsia="Courier New" w:hAnsi="Courier New"/>
          <w:sz w:val="15"/>
          <w:szCs w:val="15"/>
          <w:color w:val="auto"/>
        </w:rPr>
        <w:t>EFFECT OF NOTICE OF REDEMPTION.</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Once notice of redemption is mailed in accordance with Section 3.03 hereof, Notes called for redemption become due and payable on the redemption date at the price set forth in the Note. A notice of redemption may not be conditional.</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3.05.</w:t>
      </w:r>
      <w:r>
        <w:rPr>
          <w:sz w:val="20"/>
          <w:szCs w:val="20"/>
          <w:color w:val="auto"/>
        </w:rPr>
        <w:tab/>
      </w:r>
      <w:r>
        <w:rPr>
          <w:rFonts w:ascii="Courier New" w:cs="Courier New" w:eastAsia="Courier New" w:hAnsi="Courier New"/>
          <w:sz w:val="15"/>
          <w:szCs w:val="15"/>
          <w:color w:val="auto"/>
        </w:rPr>
        <w:t>DEPOSIT OF REDEMPTION PRICE.</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On or before 1:00 pm (Boston time) on the redemption date, the Company shall deposit with the Trustee or with the Paying Agent money (in immediately available funds) sufficient to pay the redemption price of and accrued interest on all Notes to be redeemed on that date unless theretofore converted into Common Stock pursuant to the provisions hereof. The Trustee or the Paying Agent shall return to the Company any money not required for that purpose.</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3.06.</w:t>
      </w:r>
      <w:r>
        <w:rPr>
          <w:sz w:val="20"/>
          <w:szCs w:val="20"/>
          <w:color w:val="auto"/>
        </w:rPr>
        <w:tab/>
      </w:r>
      <w:r>
        <w:rPr>
          <w:rFonts w:ascii="Courier New" w:cs="Courier New" w:eastAsia="Courier New" w:hAnsi="Courier New"/>
          <w:sz w:val="15"/>
          <w:szCs w:val="15"/>
          <w:color w:val="auto"/>
        </w:rPr>
        <w:t>NOTES REDEEMED IN PART.</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Upon surrender of a Note that is redeemed in part, the Company shall issue and the Trustee shall authenticate for the Holder at the expense of the Company a new Note equal in principal amount to the unredeemed portion of the Note surrendered.</w:t>
      </w:r>
    </w:p>
    <w:p>
      <w:pPr>
        <w:spacing w:after="0" w:line="200" w:lineRule="exact"/>
        <w:rPr>
          <w:sz w:val="20"/>
          <w:szCs w:val="20"/>
          <w:color w:val="auto"/>
        </w:rPr>
      </w:pPr>
    </w:p>
    <w:p>
      <w:pPr>
        <w:spacing w:after="0" w:line="33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5"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26</w:t>
      </w:r>
    </w:p>
    <w:p>
      <w:pPr>
        <w:spacing w:after="0" w:line="8"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3.07.</w:t>
      </w:r>
      <w:r>
        <w:rPr>
          <w:sz w:val="20"/>
          <w:szCs w:val="20"/>
          <w:color w:val="auto"/>
        </w:rPr>
        <w:tab/>
      </w:r>
      <w:r>
        <w:rPr>
          <w:rFonts w:ascii="Courier New" w:cs="Courier New" w:eastAsia="Courier New" w:hAnsi="Courier New"/>
          <w:sz w:val="15"/>
          <w:szCs w:val="15"/>
          <w:color w:val="auto"/>
        </w:rPr>
        <w:t>OPTIONAL REDEMPTION.</w:t>
      </w:r>
    </w:p>
    <w:p>
      <w:pPr>
        <w:spacing w:after="0" w:line="362"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The Company may redeem all or any portion of the Notes, upon the terms and at the redemption prices set forth in the Notes. Any redemption pursuant to this Section 3.07 shall be made pursuant to the provisions of Section 3.01 through 3.06 hereof.</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3.08.</w:t>
      </w:r>
      <w:r>
        <w:rPr>
          <w:sz w:val="20"/>
          <w:szCs w:val="20"/>
          <w:color w:val="auto"/>
        </w:rPr>
        <w:tab/>
      </w:r>
      <w:r>
        <w:rPr>
          <w:rFonts w:ascii="Courier New" w:cs="Courier New" w:eastAsia="Courier New" w:hAnsi="Courier New"/>
          <w:sz w:val="15"/>
          <w:szCs w:val="15"/>
          <w:color w:val="auto"/>
        </w:rPr>
        <w:t>MANDATORY REDEMPTION.</w:t>
      </w:r>
    </w:p>
    <w:p>
      <w:pPr>
        <w:spacing w:after="0" w:line="362" w:lineRule="exact"/>
        <w:rPr>
          <w:sz w:val="20"/>
          <w:szCs w:val="20"/>
          <w:color w:val="auto"/>
        </w:rPr>
      </w:pPr>
    </w:p>
    <w:p>
      <w:pPr>
        <w:ind w:left="820" w:right="2839" w:firstLine="830"/>
        <w:spacing w:after="0" w:line="253" w:lineRule="auto"/>
        <w:rPr>
          <w:sz w:val="20"/>
          <w:szCs w:val="20"/>
          <w:color w:val="auto"/>
        </w:rPr>
      </w:pPr>
      <w:r>
        <w:rPr>
          <w:rFonts w:ascii="Courier New" w:cs="Courier New" w:eastAsia="Courier New" w:hAnsi="Courier New"/>
          <w:sz w:val="15"/>
          <w:szCs w:val="15"/>
          <w:color w:val="auto"/>
        </w:rPr>
        <w:t>The Company shall not be required to make mandatory redemption payments or sinking fund payments with respect to the Notes.</w:t>
      </w:r>
    </w:p>
    <w:p>
      <w:pPr>
        <w:spacing w:after="0" w:line="174"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3.09.</w:t>
      </w:r>
      <w:r>
        <w:rPr>
          <w:sz w:val="20"/>
          <w:szCs w:val="20"/>
          <w:color w:val="auto"/>
        </w:rPr>
        <w:tab/>
      </w:r>
      <w:r>
        <w:rPr>
          <w:rFonts w:ascii="Courier New" w:cs="Courier New" w:eastAsia="Courier New" w:hAnsi="Courier New"/>
          <w:sz w:val="15"/>
          <w:szCs w:val="15"/>
          <w:color w:val="auto"/>
        </w:rPr>
        <w:t>PURCHASE OFFER.</w:t>
      </w:r>
    </w:p>
    <w:p>
      <w:pPr>
        <w:spacing w:after="0" w:line="185" w:lineRule="exact"/>
        <w:rPr>
          <w:sz w:val="20"/>
          <w:szCs w:val="20"/>
          <w:color w:val="auto"/>
        </w:rPr>
      </w:pPr>
    </w:p>
    <w:p>
      <w:pPr>
        <w:ind w:left="820" w:right="2839" w:firstLine="835"/>
        <w:spacing w:after="0" w:line="251" w:lineRule="auto"/>
        <w:tabs>
          <w:tab w:leader="none" w:pos="20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pursuant to Section 4.07 hereof, the Company shall commence an offer to all Holders of the Notes to purchase Notes (the "PURCHASE OFFER"), the Company shall follow the procedures in this Section 3.09.</w:t>
      </w:r>
    </w:p>
    <w:p>
      <w:pPr>
        <w:spacing w:after="0" w:line="176" w:lineRule="exact"/>
        <w:rPr>
          <w:rFonts w:ascii="Courier New" w:cs="Courier New" w:eastAsia="Courier New" w:hAnsi="Courier New"/>
          <w:sz w:val="15"/>
          <w:szCs w:val="15"/>
          <w:color w:val="auto"/>
        </w:rPr>
      </w:pPr>
    </w:p>
    <w:p>
      <w:pPr>
        <w:ind w:left="820" w:right="2839" w:firstLine="835"/>
        <w:spacing w:after="0" w:line="251" w:lineRule="auto"/>
        <w:tabs>
          <w:tab w:leader="none" w:pos="20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Offer shall remain open for a period specified by the Company which shall be no less than 30 calendar days and no more than 45 calendar days following its commencement (the "COMMENCEMENT DATE") (as determined in accordance with Section 4.07 hereof), except to the extent that a longer period is required by applicable law (the "TENDER PERIOD"). Upon the expiration of the Tender Period (the "PURCHASE DATE"), the Company shall purchase the principal amount of all of the Notes required to be purchased pursuant to Section 4.07 hereof (the "OFFER AMOUNT").</w:t>
      </w:r>
    </w:p>
    <w:p>
      <w:pPr>
        <w:spacing w:after="0" w:line="175" w:lineRule="exact"/>
        <w:rPr>
          <w:rFonts w:ascii="Courier New" w:cs="Courier New" w:eastAsia="Courier New" w:hAnsi="Courier New"/>
          <w:sz w:val="15"/>
          <w:szCs w:val="15"/>
          <w:color w:val="auto"/>
        </w:rPr>
      </w:pPr>
    </w:p>
    <w:p>
      <w:pPr>
        <w:ind w:left="820" w:right="3119" w:firstLine="835"/>
        <w:spacing w:after="0" w:line="251" w:lineRule="auto"/>
        <w:tabs>
          <w:tab w:leader="none" w:pos="20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Purchase Date is on or after an interest payment record date and on or before the related interest payment date, any accrued interest shall be paid to the Person in whose name a Note is registered at the close of business on such record date, and no additional interest will be payable to Holders who tender Notes pursuant to the Purchase Offer.</w:t>
      </w:r>
    </w:p>
    <w:p>
      <w:pPr>
        <w:spacing w:after="0" w:line="175" w:lineRule="exact"/>
        <w:rPr>
          <w:rFonts w:ascii="Courier New" w:cs="Courier New" w:eastAsia="Courier New" w:hAnsi="Courier New"/>
          <w:sz w:val="15"/>
          <w:szCs w:val="15"/>
          <w:color w:val="auto"/>
        </w:rPr>
      </w:pPr>
    </w:p>
    <w:p>
      <w:pPr>
        <w:ind w:left="820" w:right="2939" w:firstLine="835"/>
        <w:spacing w:after="0" w:line="253" w:lineRule="auto"/>
        <w:tabs>
          <w:tab w:leader="none" w:pos="20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the Trustee with written notice of the Purchase Offer at least 10 days before the Commencement Date.</w:t>
      </w:r>
    </w:p>
    <w:p>
      <w:pPr>
        <w:spacing w:after="0" w:line="174" w:lineRule="exact"/>
        <w:rPr>
          <w:rFonts w:ascii="Courier New" w:cs="Courier New" w:eastAsia="Courier New" w:hAnsi="Courier New"/>
          <w:sz w:val="15"/>
          <w:szCs w:val="15"/>
          <w:color w:val="auto"/>
        </w:rPr>
      </w:pPr>
    </w:p>
    <w:p>
      <w:pPr>
        <w:ind w:left="820" w:right="2839" w:firstLine="835"/>
        <w:spacing w:after="0" w:line="251" w:lineRule="auto"/>
        <w:tabs>
          <w:tab w:leader="none" w:pos="20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Commencement Date, the Company or the Trustee (at the written request and expense of the Company, the Company having provided to the Trustee the requisite information therefor) shall send, by first class mail, a notice to each of the Holders, which shall govern the terms of the Purchase Offer and shall state:</w:t>
      </w:r>
    </w:p>
    <w:p>
      <w:pPr>
        <w:spacing w:after="0" w:line="176" w:lineRule="exact"/>
        <w:rPr>
          <w:rFonts w:ascii="Courier New" w:cs="Courier New" w:eastAsia="Courier New" w:hAnsi="Courier New"/>
          <w:sz w:val="15"/>
          <w:szCs w:val="15"/>
          <w:color w:val="auto"/>
        </w:rPr>
      </w:pPr>
    </w:p>
    <w:p>
      <w:pPr>
        <w:ind w:left="1660" w:right="2839" w:firstLine="826"/>
        <w:spacing w:after="0" w:line="251" w:lineRule="auto"/>
        <w:tabs>
          <w:tab w:leader="none" w:pos="286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Purchase Offer is being made pursuant to this Section 3.09 and Section 4.07 hereof, that all Notes validly tendered will be accepted for payment and the length of time the Purchase Offer will remain open;</w:t>
      </w:r>
    </w:p>
    <w:p>
      <w:pPr>
        <w:spacing w:after="0" w:line="353" w:lineRule="exact"/>
        <w:rPr>
          <w:rFonts w:ascii="Courier New" w:cs="Courier New" w:eastAsia="Courier New" w:hAnsi="Courier New"/>
          <w:sz w:val="15"/>
          <w:szCs w:val="15"/>
          <w:color w:val="auto"/>
        </w:rPr>
      </w:pPr>
    </w:p>
    <w:p>
      <w:pPr>
        <w:jc w:val="both"/>
        <w:ind w:left="1660" w:right="2939" w:firstLine="826"/>
        <w:spacing w:after="0" w:line="252" w:lineRule="auto"/>
        <w:tabs>
          <w:tab w:leader="none" w:pos="2952"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(as determined in accordance with Section 4.07 hereof) and the Purchase Date, and that all Notes tendered will be accepted for payment;</w:t>
      </w:r>
    </w:p>
    <w:p>
      <w:pPr>
        <w:spacing w:after="0" w:line="351" w:lineRule="exact"/>
        <w:rPr>
          <w:rFonts w:ascii="Courier New" w:cs="Courier New" w:eastAsia="Courier New" w:hAnsi="Courier New"/>
          <w:sz w:val="15"/>
          <w:szCs w:val="15"/>
          <w:color w:val="auto"/>
        </w:rPr>
      </w:pPr>
    </w:p>
    <w:p>
      <w:pPr>
        <w:ind w:left="1660" w:right="3019" w:firstLine="826"/>
        <w:spacing w:after="0" w:line="253" w:lineRule="auto"/>
        <w:tabs>
          <w:tab w:leader="none" w:pos="3044"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any Note or portion thereof not tendered or accepted for payment will continue to accrue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5"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27</w:t>
      </w:r>
    </w:p>
    <w:p>
      <w:pPr>
        <w:spacing w:after="0" w:line="185" w:lineRule="exact"/>
        <w:rPr>
          <w:sz w:val="20"/>
          <w:szCs w:val="20"/>
          <w:color w:val="auto"/>
        </w:rPr>
      </w:pPr>
    </w:p>
    <w:p>
      <w:pPr>
        <w:ind w:left="1380" w:right="2839" w:firstLine="826"/>
        <w:spacing w:after="0" w:line="251" w:lineRule="auto"/>
        <w:tabs>
          <w:tab w:leader="none" w:pos="2672"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Company defaults in the payment of the purchase price, any Note or portion thereof accepted for payment pursuant to the Purchase Offer will cease to accrue interest after the Purchase Date;</w:t>
      </w:r>
    </w:p>
    <w:p>
      <w:pPr>
        <w:spacing w:after="0" w:line="353" w:lineRule="exact"/>
        <w:rPr>
          <w:rFonts w:ascii="Courier New" w:cs="Courier New" w:eastAsia="Courier New" w:hAnsi="Courier New"/>
          <w:sz w:val="15"/>
          <w:szCs w:val="15"/>
          <w:color w:val="auto"/>
        </w:rPr>
      </w:pPr>
    </w:p>
    <w:p>
      <w:pPr>
        <w:ind w:left="1380" w:right="2839" w:firstLine="826"/>
        <w:spacing w:after="0" w:line="251" w:lineRule="auto"/>
        <w:tabs>
          <w:tab w:leader="none" w:pos="258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electing to have a Note or portion thereof purchased pursuant to any Purchase Offer will be required to surrender the Note, with the form entitled "Option of Holder to Elect Purchase" on the reverse of the Note completed, to the Company, a depositary, if appointed by the Company, or a Paying Agent at the address specified in the notice prior to the close of business on the third Business Day preceding the Purchase Date;</w:t>
      </w:r>
    </w:p>
    <w:p>
      <w:pPr>
        <w:spacing w:after="0" w:line="352" w:lineRule="exact"/>
        <w:rPr>
          <w:rFonts w:ascii="Courier New" w:cs="Courier New" w:eastAsia="Courier New" w:hAnsi="Courier New"/>
          <w:sz w:val="15"/>
          <w:szCs w:val="15"/>
          <w:color w:val="auto"/>
        </w:rPr>
      </w:pPr>
    </w:p>
    <w:p>
      <w:pPr>
        <w:ind w:left="1380" w:right="2839" w:firstLine="826"/>
        <w:spacing w:after="0" w:line="250" w:lineRule="auto"/>
        <w:tabs>
          <w:tab w:leader="none" w:pos="2672"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will be entitled to withdraw their election if the Company, depositary or Paying Agent, as the case may be, receives, not later than the close of business on the second Business Day preceding the Purchase Date, or such longer period as may be required by law, a letter or a telegram, telex or facsimile transmission (receipt of which is confirmed and promptly followed by a letter) setting forth the name of the Holder, the principal amount of the Note or portion thereof the Holder delivered for purchase and a statement that such Holder is withdrawing his election to have the Note or portion thereof purchased;</w:t>
      </w:r>
    </w:p>
    <w:p>
      <w:pPr>
        <w:spacing w:after="0" w:line="359" w:lineRule="exact"/>
        <w:rPr>
          <w:rFonts w:ascii="Courier New" w:cs="Courier New" w:eastAsia="Courier New" w:hAnsi="Courier New"/>
          <w:sz w:val="15"/>
          <w:szCs w:val="15"/>
          <w:color w:val="auto"/>
        </w:rPr>
      </w:pPr>
    </w:p>
    <w:p>
      <w:pPr>
        <w:jc w:val="both"/>
        <w:ind w:left="1380" w:right="2839" w:firstLine="826"/>
        <w:spacing w:after="0" w:line="252" w:lineRule="auto"/>
        <w:tabs>
          <w:tab w:leader="none" w:pos="2764"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whose Notes were purchased only in part will be issued new Notes equal in principal amount to the unpurchased portion of the Notes surrendered and</w:t>
      </w:r>
    </w:p>
    <w:p>
      <w:pPr>
        <w:spacing w:after="0" w:line="351" w:lineRule="exact"/>
        <w:rPr>
          <w:rFonts w:ascii="Courier New" w:cs="Courier New" w:eastAsia="Courier New" w:hAnsi="Courier New"/>
          <w:sz w:val="15"/>
          <w:szCs w:val="15"/>
          <w:color w:val="auto"/>
        </w:rPr>
      </w:pPr>
    </w:p>
    <w:p>
      <w:pPr>
        <w:ind w:left="2860" w:hanging="654"/>
        <w:spacing w:after="0"/>
        <w:tabs>
          <w:tab w:leader="none" w:pos="28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"CUSIP" number of the Notes to be</w:t>
      </w:r>
    </w:p>
    <w:p>
      <w:pPr>
        <w:spacing w:after="0" w:line="7" w:lineRule="exact"/>
        <w:rPr>
          <w:rFonts w:ascii="Courier New" w:cs="Courier New" w:eastAsia="Courier New" w:hAnsi="Courier New"/>
          <w:sz w:val="15"/>
          <w:szCs w:val="15"/>
          <w:color w:val="auto"/>
        </w:rPr>
      </w:pPr>
    </w:p>
    <w:p>
      <w:pPr>
        <w:ind w:left="1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purchased.</w:t>
      </w:r>
    </w:p>
    <w:p>
      <w:pPr>
        <w:spacing w:after="0" w:line="362" w:lineRule="exact"/>
        <w:rPr>
          <w:rFonts w:ascii="Courier New" w:cs="Courier New" w:eastAsia="Courier New" w:hAnsi="Courier New"/>
          <w:sz w:val="15"/>
          <w:szCs w:val="15"/>
          <w:color w:val="auto"/>
        </w:rPr>
      </w:pPr>
    </w:p>
    <w:p>
      <w:pPr>
        <w:ind w:left="640" w:right="2839" w:firstLine="1381"/>
        <w:spacing w:after="0" w:line="250" w:lineRule="auto"/>
        <w:tabs>
          <w:tab w:leader="none" w:pos="239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1:00 pm (Boston time) on the Purchase Date, the Company shall irrevocably deposit with the Trustee or a Paying Agent in immediately available funds an amount equal to the Offer Amount to be held for payment in accordance with the terms of this Section 3.09. On the Purchase Date, the Company shall, to the extent lawful, (i) accept for payment the Notes or portions thereof properly tendered pursuant to the Purchase Offer, (ii) deliver or cause the Depositary or Paying Agent to deliver to the Trustee Notes so accepted and (iii) deliver to the Trustee an Officers' Certificate stating such Notes or portions thereof have been accepted for payment by the Company in accordance with the terms of this Section 3.09. The Depositary, the Paying Agent or the Company, as the case may be, shall promptly (but in any case not later than ten (10) calendar days after the Purchase Date) mail or deliver to each tendering Holder an amount equal to the purchase price of the Notes tendered by such Holder and accepted by the Company for purchase, and the Trustee shall promptly authenticate and mail or deliver to such Holders a new Note equal in principal amount to any unpurchased portion of the Note surrendered. Any Notes not so accepted shall be promptly mailed or delivered by or on behalf of the Company to the Holder thereof. The Company will publicly announce in a newspaper of general circulation the results of the Purchase Offer on or as soon as practicable after the Purchase Date.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939"/>
          </w:cols>
          <w:pgMar w:left="520" w:top="295"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28</w:t>
      </w:r>
    </w:p>
    <w:p>
      <w:pPr>
        <w:spacing w:after="0" w:line="185"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The Purchase Offer shall be made by the Company in compliance with all applicable provisions of the Exchange Act, and all applicable tender offer rules promulgated thereunder, and shall include all instructions and materials necessary to enable such Holders to tender their Notes.</w:t>
      </w:r>
    </w:p>
    <w:p>
      <w:pPr>
        <w:spacing w:after="0" w:line="354"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5"/>
          <w:szCs w:val="15"/>
          <w:color w:val="auto"/>
        </w:rPr>
        <w:t>ARTICLE IV</w:t>
      </w:r>
    </w:p>
    <w:p>
      <w:pPr>
        <w:spacing w:after="0" w:line="8"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5"/>
          <w:szCs w:val="15"/>
          <w:color w:val="auto"/>
        </w:rPr>
        <w:t>COVENANTS</w:t>
      </w:r>
    </w:p>
    <w:p>
      <w:pPr>
        <w:spacing w:after="0" w:line="18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5"/>
          <w:szCs w:val="15"/>
          <w:color w:val="auto"/>
        </w:rPr>
        <w:t>PAYMENT OF NOTES.</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The Company shall pay the principal of, and premium, if any, and interest on, the Notes on the dates and in the manner provided in the Notes. Principal, premium, if any, and interest shall be considered paid on the date due if the Paying Agent (other than the Company or an Affiliate of the Company) holds on that date money designated for and sufficient to pay all principal, premium, if any, and interest then due. To the extent lawful, the Company shall pay interest (including post-petition interest in any proceeding under any Bankruptcy Law) on</w:t>
      </w:r>
    </w:p>
    <w:p>
      <w:pPr>
        <w:spacing w:after="0" w:line="4" w:lineRule="exact"/>
        <w:rPr>
          <w:sz w:val="20"/>
          <w:szCs w:val="20"/>
          <w:color w:val="auto"/>
        </w:rPr>
      </w:pPr>
    </w:p>
    <w:p>
      <w:pPr>
        <w:ind w:left="820" w:right="3119" w:firstLine="5"/>
        <w:spacing w:after="0" w:line="251" w:lineRule="auto"/>
        <w:tabs>
          <w:tab w:leader="none" w:pos="118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overdue principal and premium, if any, at the rate borne by the Notes, compounded semiannually; and (ii) overdue installments of interest (without regard to any applicable grace period) at the same rate, compounded semiannually.</w:t>
      </w:r>
    </w:p>
    <w:p>
      <w:pPr>
        <w:spacing w:after="0" w:line="354"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Whenever in this Indenture or the Notes there is mentioned, in any context, the payment of principal (and premium, if any), Offer Amount, interest or any other amount payable under or with respect to any Note, such mention shall be deemed to include mention of the payment of Special Interest provided for in Section 2 of the Notes to the extent that, in such context, Special Interest is, was or would be payable in respect thereof pursuant to the provisions of Section 2 of the Notes, and express mention of the payment of Special Interest (if applicable) in any provisions hereof shall not be construed as excluding Special Interest in those provisions hereof where such express mention is not made (if applicable).</w:t>
      </w:r>
    </w:p>
    <w:p>
      <w:pPr>
        <w:spacing w:after="0" w:line="182"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5"/>
          <w:szCs w:val="15"/>
          <w:color w:val="auto"/>
        </w:rPr>
        <w:t>REPORTS.</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Whether or not required by the rules and regulations of the SEC, so long as any Notes are outstanding, the Company shall file with the SEC and furnish to the Trustee and to the Holders of Notes, all quarterly and annual financial information required to be contained in a filing with the SEC on Forms 10-Q and 10-K, including a "Management's Discussion and Analysis of Results of Operations and Financial Condition" and, with respect to the annual information only, a report thereon by the Company's certified independent accountants, in each case, as required by the rules and regulations of the SEC as in effect on the Issuance Date. The Trustee shall be under no obligation or duty to review such reports, such delivery to it being for the purpose of having the same on file with the Trustee and available for examination.</w:t>
      </w:r>
    </w:p>
    <w:p>
      <w:pPr>
        <w:spacing w:after="0" w:line="183"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4.03.</w:t>
      </w:r>
      <w:r>
        <w:rPr>
          <w:sz w:val="20"/>
          <w:szCs w:val="20"/>
          <w:color w:val="auto"/>
        </w:rPr>
        <w:tab/>
      </w:r>
      <w:r>
        <w:rPr>
          <w:rFonts w:ascii="Courier New" w:cs="Courier New" w:eastAsia="Courier New" w:hAnsi="Courier New"/>
          <w:sz w:val="15"/>
          <w:szCs w:val="15"/>
          <w:color w:val="auto"/>
        </w:rPr>
        <w:t>COMPLIANCE CERTIFICATE.</w:t>
      </w:r>
    </w:p>
    <w:p>
      <w:pPr>
        <w:spacing w:after="0" w:line="362" w:lineRule="exact"/>
        <w:rPr>
          <w:sz w:val="20"/>
          <w:szCs w:val="20"/>
          <w:color w:val="auto"/>
        </w:rPr>
      </w:pPr>
    </w:p>
    <w:p>
      <w:pPr>
        <w:ind w:left="1660" w:right="2939" w:firstLine="830"/>
        <w:spacing w:after="0" w:line="251" w:lineRule="auto"/>
        <w:rPr>
          <w:sz w:val="20"/>
          <w:szCs w:val="20"/>
          <w:color w:val="auto"/>
        </w:rPr>
      </w:pPr>
      <w:r>
        <w:rPr>
          <w:rFonts w:ascii="Courier New" w:cs="Courier New" w:eastAsia="Courier New" w:hAnsi="Courier New"/>
          <w:sz w:val="15"/>
          <w:szCs w:val="15"/>
          <w:color w:val="auto"/>
        </w:rPr>
        <w:t>The Company shall deliver to the Trustee, within 90 days after the end of each fiscal year of the Company, an Officers' Certificate stating that a review of the activities of the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5"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29</w:t>
      </w:r>
    </w:p>
    <w:p>
      <w:pPr>
        <w:spacing w:after="0" w:line="185" w:lineRule="exact"/>
        <w:rPr>
          <w:sz w:val="20"/>
          <w:szCs w:val="20"/>
          <w:color w:val="auto"/>
        </w:rPr>
      </w:pPr>
    </w:p>
    <w:p>
      <w:pPr>
        <w:ind w:left="1660" w:right="2839"/>
        <w:spacing w:after="0" w:line="250" w:lineRule="auto"/>
        <w:rPr>
          <w:sz w:val="20"/>
          <w:szCs w:val="20"/>
          <w:color w:val="auto"/>
        </w:rPr>
      </w:pPr>
      <w:r>
        <w:rPr>
          <w:rFonts w:ascii="Courier New" w:cs="Courier New" w:eastAsia="Courier New" w:hAnsi="Courier New"/>
          <w:sz w:val="15"/>
          <w:szCs w:val="15"/>
          <w:color w:val="auto"/>
        </w:rPr>
        <w:t>Company and its subsidiaries during the preceding fiscal year has been made under the supervision of the signing Officers with a view to determining whether the Company has kept, observed, performed and fulfilled its obligations under, and complied with the covenants and conditions contained in, this Indenture, and further stating, as to each such Officer signing such certificate, that to the best of his knowledge the Company has kept, observed, performed and fulfilled each and every covenant, and complied with the covenants and conditions contained in this Indenture and is not in default in the performance or observance of any of the terms, provisions and conditions hereof (or, if a Default or Event of Default shall have occurred, describing all such Defaults or Events of Default of which he may have knowledge) and that to the best of his knowledge no event has occurred and remains in existence by reason of which payments on account of the principal or of interest, if any, on the Notes are prohibited. One of the Officers signing such Officers' Certificate shall be either the Company's principal executive officer, principal financial officer or principal accounting officer.</w:t>
      </w:r>
    </w:p>
    <w:p>
      <w:pPr>
        <w:spacing w:after="0" w:line="364" w:lineRule="exact"/>
        <w:rPr>
          <w:sz w:val="20"/>
          <w:szCs w:val="20"/>
          <w:color w:val="auto"/>
        </w:rPr>
      </w:pPr>
    </w:p>
    <w:p>
      <w:pPr>
        <w:ind w:left="1660" w:right="3119" w:firstLine="830"/>
        <w:spacing w:after="0" w:line="251" w:lineRule="auto"/>
        <w:rPr>
          <w:sz w:val="20"/>
          <w:szCs w:val="20"/>
          <w:color w:val="auto"/>
        </w:rPr>
      </w:pPr>
      <w:r>
        <w:rPr>
          <w:rFonts w:ascii="Courier New" w:cs="Courier New" w:eastAsia="Courier New" w:hAnsi="Courier New"/>
          <w:sz w:val="15"/>
          <w:szCs w:val="15"/>
          <w:color w:val="auto"/>
        </w:rPr>
        <w:t>The Company will, so long as any of the Notes are outstanding, deliver to the Trustee forthwith upon becoming aware of any Default or Event of Default, an Officers' Certificate specifying such Default or Event of Default.</w:t>
      </w:r>
    </w:p>
    <w:p>
      <w:pPr>
        <w:spacing w:after="0" w:line="354" w:lineRule="exact"/>
        <w:rPr>
          <w:sz w:val="20"/>
          <w:szCs w:val="20"/>
          <w:color w:val="auto"/>
        </w:rPr>
      </w:pPr>
    </w:p>
    <w:p>
      <w:pPr>
        <w:ind w:left="1660" w:right="2939" w:firstLine="830"/>
        <w:spacing w:after="0" w:line="250" w:lineRule="auto"/>
        <w:rPr>
          <w:sz w:val="20"/>
          <w:szCs w:val="20"/>
          <w:color w:val="auto"/>
        </w:rPr>
      </w:pPr>
      <w:r>
        <w:rPr>
          <w:rFonts w:ascii="Courier New" w:cs="Courier New" w:eastAsia="Courier New" w:hAnsi="Courier New"/>
          <w:sz w:val="15"/>
          <w:szCs w:val="15"/>
          <w:color w:val="auto"/>
        </w:rPr>
        <w:t>Immediately upon the occurrence of any Registration Default giving rise to Special Interest or the cure of any such Registration Default, the Company shall give the Trustee written notice thereof and of the event giving rise to such Registration Default or the cure of any such Registration Default (such notice to be contained in an Officers' Certificate) and prior to receipt of such Officers' Certificate the Trustee shall be entitled to assume that no such Registration Default has occurred or been cured, as the case may be.</w:t>
      </w:r>
    </w:p>
    <w:p>
      <w:pPr>
        <w:spacing w:after="0" w:line="182"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4.04.</w:t>
      </w:r>
      <w:r>
        <w:rPr>
          <w:sz w:val="20"/>
          <w:szCs w:val="20"/>
          <w:color w:val="auto"/>
        </w:rPr>
        <w:tab/>
      </w:r>
      <w:r>
        <w:rPr>
          <w:rFonts w:ascii="Courier New" w:cs="Courier New" w:eastAsia="Courier New" w:hAnsi="Courier New"/>
          <w:sz w:val="15"/>
          <w:szCs w:val="15"/>
          <w:color w:val="auto"/>
        </w:rPr>
        <w:t>STAY, EXTENSION AND USURY LAWS.</w:t>
      </w:r>
    </w:p>
    <w:p>
      <w:pPr>
        <w:spacing w:after="0" w:line="362" w:lineRule="exact"/>
        <w:rPr>
          <w:sz w:val="20"/>
          <w:szCs w:val="20"/>
          <w:color w:val="auto"/>
        </w:rPr>
      </w:pPr>
    </w:p>
    <w:p>
      <w:pPr>
        <w:ind w:left="1660" w:right="2839" w:firstLine="830"/>
        <w:spacing w:after="0" w:line="250" w:lineRule="auto"/>
        <w:rPr>
          <w:sz w:val="20"/>
          <w:szCs w:val="20"/>
          <w:color w:val="auto"/>
        </w:rPr>
      </w:pPr>
      <w:r>
        <w:rPr>
          <w:rFonts w:ascii="Courier New" w:cs="Courier New" w:eastAsia="Courier New" w:hAnsi="Courier New"/>
          <w:sz w:val="15"/>
          <w:szCs w:val="15"/>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83"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4.05.</w:t>
      </w:r>
      <w:r>
        <w:rPr>
          <w:sz w:val="20"/>
          <w:szCs w:val="20"/>
          <w:color w:val="auto"/>
        </w:rPr>
        <w:tab/>
      </w:r>
      <w:r>
        <w:rPr>
          <w:rFonts w:ascii="Courier New" w:cs="Courier New" w:eastAsia="Courier New" w:hAnsi="Courier New"/>
          <w:sz w:val="15"/>
          <w:szCs w:val="15"/>
          <w:color w:val="auto"/>
        </w:rPr>
        <w:t>CORPORATE EXISTENCE.</w:t>
      </w:r>
    </w:p>
    <w:p>
      <w:pPr>
        <w:spacing w:after="0" w:line="362" w:lineRule="exact"/>
        <w:rPr>
          <w:sz w:val="20"/>
          <w:szCs w:val="20"/>
          <w:color w:val="auto"/>
        </w:rPr>
      </w:pPr>
    </w:p>
    <w:p>
      <w:pPr>
        <w:ind w:left="1660" w:right="2839" w:firstLine="830"/>
        <w:spacing w:after="0" w:line="250" w:lineRule="auto"/>
        <w:rPr>
          <w:sz w:val="20"/>
          <w:szCs w:val="20"/>
          <w:color w:val="auto"/>
        </w:rPr>
      </w:pPr>
      <w:r>
        <w:rPr>
          <w:rFonts w:ascii="Courier New" w:cs="Courier New" w:eastAsia="Courier New" w:hAnsi="Courier New"/>
          <w:sz w:val="15"/>
          <w:szCs w:val="15"/>
          <w:color w:val="auto"/>
        </w:rPr>
        <w:t>Subject to Article VII hereof, to the extent permitted by law the Company will do or cause to be done all things necessary to preserve and keep in full force and effect its corporate existence and the corporate, partnership or other existence of each subsidiary of the Company in accordance with the respective organizational documents of each subsidiary and the rights (charter and statutory), licenses and franchises of the Company; provided, however, that the Company shall not be required to preserve any such right, license or franchise, or the corporate, partnership or other existence of any subsidiary, if the preservation thereof is no</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5" w:right="1440" w:bottom="1440" w:gutter="0" w:footer="0" w:header="0"/>
          <w:type w:val="continuous"/>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30</w:t>
      </w:r>
    </w:p>
    <w:p>
      <w:pPr>
        <w:spacing w:after="0" w:line="185" w:lineRule="exact"/>
        <w:rPr>
          <w:sz w:val="20"/>
          <w:szCs w:val="20"/>
          <w:color w:val="auto"/>
        </w:rPr>
      </w:pPr>
    </w:p>
    <w:p>
      <w:pPr>
        <w:ind w:left="1660" w:right="2839"/>
        <w:spacing w:after="0" w:line="253" w:lineRule="auto"/>
        <w:rPr>
          <w:sz w:val="20"/>
          <w:szCs w:val="20"/>
          <w:color w:val="auto"/>
        </w:rPr>
      </w:pPr>
      <w:r>
        <w:rPr>
          <w:rFonts w:ascii="Courier New" w:cs="Courier New" w:eastAsia="Courier New" w:hAnsi="Courier New"/>
          <w:sz w:val="15"/>
          <w:szCs w:val="15"/>
          <w:color w:val="auto"/>
        </w:rPr>
        <w:t>longer desirable in the conduct of the business of the Company and its subsidiaries taken as a whole.</w:t>
      </w:r>
    </w:p>
    <w:p>
      <w:pPr>
        <w:spacing w:after="0" w:line="174"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4.06.</w:t>
      </w:r>
      <w:r>
        <w:rPr>
          <w:sz w:val="20"/>
          <w:szCs w:val="20"/>
          <w:color w:val="auto"/>
        </w:rPr>
        <w:tab/>
      </w:r>
      <w:r>
        <w:rPr>
          <w:rFonts w:ascii="Courier New" w:cs="Courier New" w:eastAsia="Courier New" w:hAnsi="Courier New"/>
          <w:sz w:val="15"/>
          <w:szCs w:val="15"/>
          <w:color w:val="auto"/>
        </w:rPr>
        <w:t>TAXES.</w:t>
      </w:r>
    </w:p>
    <w:p>
      <w:pPr>
        <w:spacing w:after="0" w:line="362" w:lineRule="exact"/>
        <w:rPr>
          <w:sz w:val="20"/>
          <w:szCs w:val="20"/>
          <w:color w:val="auto"/>
        </w:rPr>
      </w:pPr>
    </w:p>
    <w:p>
      <w:pPr>
        <w:ind w:left="1660" w:right="2939" w:firstLine="830"/>
        <w:spacing w:after="0" w:line="251" w:lineRule="auto"/>
        <w:rPr>
          <w:sz w:val="20"/>
          <w:szCs w:val="20"/>
          <w:color w:val="auto"/>
        </w:rPr>
      </w:pPr>
      <w:r>
        <w:rPr>
          <w:rFonts w:ascii="Courier New" w:cs="Courier New" w:eastAsia="Courier New" w:hAnsi="Courier New"/>
          <w:sz w:val="15"/>
          <w:szCs w:val="15"/>
          <w:color w:val="auto"/>
        </w:rPr>
        <w:t>The Company shall, and shall cause each of its subsidiaries to, pay prior to delinquency all material taxes, assessments and governmental levies, except as contested in good faith and by appropriate proceedings.</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4.07.</w:t>
      </w:r>
      <w:r>
        <w:rPr>
          <w:sz w:val="20"/>
          <w:szCs w:val="20"/>
          <w:color w:val="auto"/>
        </w:rPr>
        <w:tab/>
      </w:r>
      <w:r>
        <w:rPr>
          <w:rFonts w:ascii="Courier New" w:cs="Courier New" w:eastAsia="Courier New" w:hAnsi="Courier New"/>
          <w:sz w:val="15"/>
          <w:szCs w:val="15"/>
          <w:color w:val="auto"/>
        </w:rPr>
        <w:t>FUNDAMENTAL CHANGE.</w:t>
      </w:r>
    </w:p>
    <w:p>
      <w:pPr>
        <w:spacing w:after="0" w:line="185" w:lineRule="exact"/>
        <w:rPr>
          <w:sz w:val="20"/>
          <w:szCs w:val="20"/>
          <w:color w:val="auto"/>
        </w:rPr>
      </w:pPr>
    </w:p>
    <w:p>
      <w:pPr>
        <w:ind w:left="1660" w:right="2839" w:firstLine="826"/>
        <w:spacing w:after="0" w:line="251" w:lineRule="auto"/>
        <w:tabs>
          <w:tab w:leader="none" w:pos="28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Fundamental Change, each Holder of Notes shall have the right to require the Company to repurchase all or any part (equal to $1,000 or an integral multiple thereof) of such Holder's Notes pursuant to the Purchase Offer at a purchase price equal to 100% of the principal amount thereof plus accrued and unpaid interest to the date of purchase (the "FUNDAMENTAL CHANGE PAYMENT").</w:t>
      </w:r>
    </w:p>
    <w:p>
      <w:pPr>
        <w:spacing w:after="0" w:line="175" w:lineRule="exact"/>
        <w:rPr>
          <w:rFonts w:ascii="Courier New" w:cs="Courier New" w:eastAsia="Courier New" w:hAnsi="Courier New"/>
          <w:sz w:val="15"/>
          <w:szCs w:val="15"/>
          <w:color w:val="auto"/>
        </w:rPr>
      </w:pPr>
    </w:p>
    <w:p>
      <w:pPr>
        <w:ind w:left="1660" w:right="2839" w:firstLine="826"/>
        <w:spacing w:after="0" w:line="252" w:lineRule="auto"/>
        <w:tabs>
          <w:tab w:leader="none" w:pos="28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25 days following any Fundamental Change, the Company shall give written notice to the Trustee and shall mail to each Holder the notice provided by Section 3.09(e).</w:t>
      </w:r>
    </w:p>
    <w:p>
      <w:pPr>
        <w:spacing w:after="0" w:line="17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4.08.</w:t>
      </w:r>
      <w:r>
        <w:rPr>
          <w:sz w:val="20"/>
          <w:szCs w:val="20"/>
          <w:color w:val="auto"/>
        </w:rPr>
        <w:tab/>
      </w:r>
      <w:r>
        <w:rPr>
          <w:rFonts w:ascii="Courier New" w:cs="Courier New" w:eastAsia="Courier New" w:hAnsi="Courier New"/>
          <w:sz w:val="15"/>
          <w:szCs w:val="15"/>
          <w:color w:val="auto"/>
        </w:rPr>
        <w:t>LIMITATION ON STATUS AS INVESTMENT COMPANY.</w:t>
      </w:r>
    </w:p>
    <w:p>
      <w:pPr>
        <w:spacing w:after="0" w:line="362" w:lineRule="exact"/>
        <w:rPr>
          <w:sz w:val="20"/>
          <w:szCs w:val="20"/>
          <w:color w:val="auto"/>
        </w:rPr>
      </w:pPr>
    </w:p>
    <w:p>
      <w:pPr>
        <w:ind w:left="1660" w:right="3119" w:firstLine="830"/>
        <w:spacing w:after="0" w:line="251" w:lineRule="auto"/>
        <w:rPr>
          <w:sz w:val="20"/>
          <w:szCs w:val="20"/>
          <w:color w:val="auto"/>
        </w:rPr>
      </w:pPr>
      <w:r>
        <w:rPr>
          <w:rFonts w:ascii="Courier New" w:cs="Courier New" w:eastAsia="Courier New" w:hAnsi="Courier New"/>
          <w:sz w:val="15"/>
          <w:szCs w:val="15"/>
          <w:color w:val="auto"/>
        </w:rPr>
        <w:t>The Company shall not, and shall not permit any Subsidiary to, conduct its business in a fashion that would cause the Company to be required to be registered as an "investment company" (as that term is defined in the Investment Company Act of 1940, as amended).</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4.09.</w:t>
      </w:r>
      <w:r>
        <w:rPr>
          <w:sz w:val="20"/>
          <w:szCs w:val="20"/>
          <w:color w:val="auto"/>
        </w:rPr>
        <w:tab/>
      </w:r>
      <w:r>
        <w:rPr>
          <w:rFonts w:ascii="Courier New" w:cs="Courier New" w:eastAsia="Courier New" w:hAnsi="Courier New"/>
          <w:sz w:val="15"/>
          <w:szCs w:val="15"/>
          <w:color w:val="auto"/>
        </w:rPr>
        <w:t>SPECIAL INTEREST.</w:t>
      </w:r>
    </w:p>
    <w:p>
      <w:pPr>
        <w:spacing w:after="0" w:line="362" w:lineRule="exact"/>
        <w:rPr>
          <w:sz w:val="20"/>
          <w:szCs w:val="20"/>
          <w:color w:val="auto"/>
        </w:rPr>
      </w:pPr>
    </w:p>
    <w:p>
      <w:pPr>
        <w:ind w:left="1660" w:right="2939" w:firstLine="830"/>
        <w:spacing w:after="0" w:line="250" w:lineRule="auto"/>
        <w:rPr>
          <w:sz w:val="20"/>
          <w:szCs w:val="20"/>
          <w:color w:val="auto"/>
        </w:rPr>
      </w:pPr>
      <w:r>
        <w:rPr>
          <w:rFonts w:ascii="Courier New" w:cs="Courier New" w:eastAsia="Courier New" w:hAnsi="Courier New"/>
          <w:sz w:val="15"/>
          <w:szCs w:val="15"/>
          <w:color w:val="auto"/>
        </w:rPr>
        <w:t>If Special Interest is payable by the Company pursuant to Section 2 of the Notes, the Company shall deliver to the Trustee a certificate to that effect stating (i) the amount of such Special Interest that is payable and (ii) the date on which such Special Interest is payable. Unless and until a Trust Officer of the Trustee receives such a certificate, the Trustee may assume without inquiry that no such Special Interest is payable. If the Company has paid Special Interest directly to the persons entitled to it, the Company shall deliver to the Trustee a certificate setting forth the particulars of such payment.</w:t>
      </w:r>
    </w:p>
    <w:p>
      <w:pPr>
        <w:spacing w:after="0" w:line="18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V</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CONVERSION</w:t>
      </w:r>
    </w:p>
    <w:p>
      <w:pPr>
        <w:spacing w:after="0" w:line="18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5"/>
          <w:szCs w:val="15"/>
          <w:color w:val="auto"/>
        </w:rPr>
        <w:t>CONVERSION PRIVILEGE.</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A Holder of a Note may convert it into fully paid and nonassessable shares of Common Stock at any time following the Issuance Date and prior to maturity at the Conversion Price then in effect, except that, with respect to any Note called for redemption, such conversion right shall terminate at the close of business on the Business Day immediately preceding the redemption date (unless the Company shall default in making the redemption payment when it becomes due, in which case the conversion right shall terminate</w:t>
      </w:r>
    </w:p>
    <w:p>
      <w:pPr>
        <w:spacing w:after="0" w:line="200" w:lineRule="exact"/>
        <w:rPr>
          <w:sz w:val="20"/>
          <w:szCs w:val="20"/>
          <w:color w:val="auto"/>
        </w:rPr>
      </w:pPr>
    </w:p>
    <w:p>
      <w:pPr>
        <w:spacing w:after="0" w:line="33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5"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31</w:t>
      </w:r>
    </w:p>
    <w:p>
      <w:pPr>
        <w:spacing w:after="0" w:line="185" w:lineRule="exact"/>
        <w:rPr>
          <w:sz w:val="20"/>
          <w:szCs w:val="20"/>
          <w:color w:val="auto"/>
        </w:rPr>
      </w:pPr>
    </w:p>
    <w:p>
      <w:pPr>
        <w:ind w:left="820" w:right="2939"/>
        <w:spacing w:after="0" w:line="251" w:lineRule="auto"/>
        <w:rPr>
          <w:sz w:val="20"/>
          <w:szCs w:val="20"/>
          <w:color w:val="auto"/>
        </w:rPr>
      </w:pPr>
      <w:r>
        <w:rPr>
          <w:rFonts w:ascii="Courier New" w:cs="Courier New" w:eastAsia="Courier New" w:hAnsi="Courier New"/>
          <w:sz w:val="15"/>
          <w:szCs w:val="15"/>
          <w:color w:val="auto"/>
        </w:rPr>
        <w:t>on the date such default is cured). The number of shares of Common Stock issuable upon conversion of a Note is determined by dividing the principal amount of such Note by the conversion price in effect on the Conversion Date (the "CONVERSION PRICE").</w:t>
      </w:r>
    </w:p>
    <w:p>
      <w:pPr>
        <w:spacing w:after="0" w:line="354" w:lineRule="exact"/>
        <w:rPr>
          <w:sz w:val="20"/>
          <w:szCs w:val="20"/>
          <w:color w:val="auto"/>
        </w:rPr>
      </w:pPr>
    </w:p>
    <w:p>
      <w:pPr>
        <w:ind w:left="820" w:right="3119" w:firstLine="830"/>
        <w:spacing w:after="0" w:line="253" w:lineRule="auto"/>
        <w:rPr>
          <w:sz w:val="20"/>
          <w:szCs w:val="20"/>
          <w:color w:val="auto"/>
        </w:rPr>
      </w:pPr>
      <w:r>
        <w:rPr>
          <w:rFonts w:ascii="Courier New" w:cs="Courier New" w:eastAsia="Courier New" w:hAnsi="Courier New"/>
          <w:sz w:val="15"/>
          <w:szCs w:val="15"/>
          <w:color w:val="auto"/>
        </w:rPr>
        <w:t>The initial Conversion Price is stated in Section 12 of the Notes and is subject to adjustment as provided in this Article V.</w:t>
      </w:r>
    </w:p>
    <w:p>
      <w:pPr>
        <w:spacing w:after="0" w:line="352" w:lineRule="exact"/>
        <w:rPr>
          <w:sz w:val="20"/>
          <w:szCs w:val="20"/>
          <w:color w:val="auto"/>
        </w:rPr>
      </w:pPr>
    </w:p>
    <w:p>
      <w:pPr>
        <w:ind w:left="820" w:right="2839" w:firstLine="830"/>
        <w:spacing w:after="0" w:line="253" w:lineRule="auto"/>
        <w:rPr>
          <w:sz w:val="20"/>
          <w:szCs w:val="20"/>
          <w:color w:val="auto"/>
        </w:rPr>
      </w:pPr>
      <w:r>
        <w:rPr>
          <w:rFonts w:ascii="Courier New" w:cs="Courier New" w:eastAsia="Courier New" w:hAnsi="Courier New"/>
          <w:sz w:val="15"/>
          <w:szCs w:val="15"/>
          <w:color w:val="auto"/>
        </w:rPr>
        <w:t>A Holder may convert a portion of a Note equal to any integral multiple of $1,000. Provisions of this Indenture that apply to conversion of all of a Note also apply to conversion of a portion of it.</w:t>
      </w:r>
    </w:p>
    <w:p>
      <w:pPr>
        <w:spacing w:after="0" w:line="350"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5"/>
          <w:szCs w:val="15"/>
          <w:color w:val="auto"/>
        </w:rPr>
        <w:t>CONVERSION PROCEDURE.</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To convert a Note, a Holder must satisfy the requirements in Section 12 of the Notes. The date on which the Holder satisfies all of those requirements is the conversion date (the "CONVERSION DATE"). As soon as practicable after the Conversion Date, the Company shall deliver to the Holder through the Conversion Agent a certificate for the number of whole shares of Common Stock issuable upon the conversion and a check for any fractional share determined pursuant to Section 5.03 hereof. The Person in whose name the certificate is registered shall become the stockholder of record on the Conversion Date and, as of such date, such Person's rights as a Holder of Notes hereunder shall cease (such Person's rights as a Holder of Transfer Restricted Securities, if any, under the Registration Rights Agreement, however, shall continue so long as such Person holds such Transfer Restricted Securities); provided, however, that no surrender of a Note on any date when the stock transfer books of the Company shall be closed shall be effective to constitute the Person entitled to receive the shares of Common Stock upon such conversion as the stockholder of record of such shares of Common Stock on such date, but such surrender shall be effective to constitute the Person entitled to receive such shares of Common Stock as the stockholder of record thereof for all purposes at the close of business on the next succeeding day on which such stock transfer books are open; provided further, however, that such conversion shall be at the Conversion Price in effect on the date that such Note shall have been surrendered for conversion, as if the stock transfer books of the Company had not been closed.</w:t>
      </w:r>
    </w:p>
    <w:p>
      <w:pPr>
        <w:spacing w:after="0" w:line="366"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No payment or adjustment will be made for accrued and unpaid interest on a converted Note, but if any Holder surrenders a Note for conversion after the close of business on the record date for the payment of an installment of interest and prior to the opening of business on the next interest payment date, then, notwithstanding such conversion, the interest payable on such interest payment date shall be paid to the Holder of such Note on such record date. Any Notes that are, however, delivered to the Company for conversion after any record date but before the next interest payment date must, except as described in the next sentence, be accompanied by a payment equal to the interest payable on such interest payment date on the principal amount of convertible notes being converted. The payment to the Company described in the preceding sentence shall not be required if, during that period between a record date and the next interest payment date, a conversion occurs on or after the date that the Company has issued a redemption notice and prior to the date of redemption stated in such notice. If any Notes are converted after an interest payment date but on or before the next</w:t>
      </w:r>
    </w:p>
    <w:p>
      <w:pPr>
        <w:spacing w:after="0" w:line="36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5"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32</w:t>
      </w:r>
    </w:p>
    <w:p>
      <w:pPr>
        <w:spacing w:after="0" w:line="185" w:lineRule="exact"/>
        <w:rPr>
          <w:sz w:val="20"/>
          <w:szCs w:val="20"/>
          <w:color w:val="auto"/>
        </w:rPr>
      </w:pPr>
    </w:p>
    <w:p>
      <w:pPr>
        <w:jc w:val="both"/>
        <w:ind w:left="820" w:right="3119"/>
        <w:spacing w:after="0" w:line="252" w:lineRule="auto"/>
        <w:rPr>
          <w:sz w:val="20"/>
          <w:szCs w:val="20"/>
          <w:color w:val="auto"/>
        </w:rPr>
      </w:pPr>
      <w:r>
        <w:rPr>
          <w:rFonts w:ascii="Courier New" w:cs="Courier New" w:eastAsia="Courier New" w:hAnsi="Courier New"/>
          <w:sz w:val="15"/>
          <w:szCs w:val="15"/>
          <w:color w:val="auto"/>
        </w:rPr>
        <w:t>record date, no interest will be paid on those Notes. No fractional shares will be issued upon conversion, but a cash adjustment will be made for any fractional shares.</w:t>
      </w:r>
    </w:p>
    <w:p>
      <w:pPr>
        <w:spacing w:after="0" w:line="352" w:lineRule="exact"/>
        <w:rPr>
          <w:sz w:val="20"/>
          <w:szCs w:val="20"/>
          <w:color w:val="auto"/>
        </w:rPr>
      </w:pPr>
    </w:p>
    <w:p>
      <w:pPr>
        <w:ind w:left="820" w:right="2939" w:firstLine="830"/>
        <w:spacing w:after="0" w:line="252" w:lineRule="auto"/>
        <w:rPr>
          <w:sz w:val="20"/>
          <w:szCs w:val="20"/>
          <w:color w:val="auto"/>
        </w:rPr>
      </w:pPr>
      <w:r>
        <w:rPr>
          <w:rFonts w:ascii="Courier New" w:cs="Courier New" w:eastAsia="Courier New" w:hAnsi="Courier New"/>
          <w:sz w:val="15"/>
          <w:szCs w:val="15"/>
          <w:color w:val="auto"/>
        </w:rPr>
        <w:t>If a Holder converts more than one Note at the same time, the number of whole shares of Common Stock issuable upon the conversion shall be based on the total principal amount of Notes converted.</w:t>
      </w:r>
    </w:p>
    <w:p>
      <w:pPr>
        <w:spacing w:after="0" w:line="352" w:lineRule="exact"/>
        <w:rPr>
          <w:sz w:val="20"/>
          <w:szCs w:val="20"/>
          <w:color w:val="auto"/>
        </w:rPr>
      </w:pPr>
    </w:p>
    <w:p>
      <w:pPr>
        <w:ind w:left="820" w:right="2839" w:firstLine="830"/>
        <w:spacing w:after="0" w:line="252" w:lineRule="auto"/>
        <w:rPr>
          <w:sz w:val="20"/>
          <w:szCs w:val="20"/>
          <w:color w:val="auto"/>
        </w:rPr>
      </w:pPr>
      <w:r>
        <w:rPr>
          <w:rFonts w:ascii="Courier New" w:cs="Courier New" w:eastAsia="Courier New" w:hAnsi="Courier New"/>
          <w:sz w:val="15"/>
          <w:szCs w:val="15"/>
          <w:color w:val="auto"/>
        </w:rPr>
        <w:t>Upon surrender of a Note that is converted in part, the Trustee shall authenticate for the Holder a new Note equal in principal amount to the unconverted portion of the Note surrendered.</w:t>
      </w:r>
    </w:p>
    <w:p>
      <w:pPr>
        <w:spacing w:after="0" w:line="17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5"/>
          <w:szCs w:val="15"/>
          <w:color w:val="auto"/>
        </w:rPr>
        <w:t>FRACTIONAL SHARES.</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The Company will not issue fractional shares of Common Stock upon conversion of a Note. In lieu thereof, the Company will pay an amount in cash based upon the Daily Market Price of the Common Stock on the trading day prior to the date of conversion.</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5.04.</w:t>
      </w:r>
      <w:r>
        <w:rPr>
          <w:sz w:val="20"/>
          <w:szCs w:val="20"/>
          <w:color w:val="auto"/>
        </w:rPr>
        <w:tab/>
      </w:r>
      <w:r>
        <w:rPr>
          <w:rFonts w:ascii="Courier New" w:cs="Courier New" w:eastAsia="Courier New" w:hAnsi="Courier New"/>
          <w:sz w:val="15"/>
          <w:szCs w:val="15"/>
          <w:color w:val="auto"/>
        </w:rPr>
        <w:t>TAXES ON CONVERSION.</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The issuance of certificates for shares of Common Stock upon the conversion of any Note shall be made without charge to the converting Holder for such certificates or for any tax in respect of the issuance of such certificates, and such certificates shall be issued in the respective names of, or in such names as may be directed by, the Holder or Holders of the converted Note; provided, however, that in the event that certificates for shares of Common Stock are to be issued in a name other than the name of the Holder of the Note converted, such Note, when surrendered for conversion, shall be accompanied by an instrument of transfer, in form satisfactory to the Company, duly executed by the registered Holder thereof or his duly authorized attorney; and provided further, however, that the Company shall not be required to pay any tax which may be payable in respect of any transfer involved in the issuance and delivery of any such certificates in a name other than that of the Holder of the converted Note, and the Company shall not be required to issue or deliver such certificates unless or until the Person or Persons requesting the issuance thereof shall have paid to the Company the amount of such tax or shall have established to the satisfaction of the Company that such tax has been paid or is not applicable.</w:t>
      </w:r>
    </w:p>
    <w:p>
      <w:pPr>
        <w:spacing w:after="0" w:line="363"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5.05.</w:t>
      </w:r>
      <w:r>
        <w:rPr>
          <w:sz w:val="20"/>
          <w:szCs w:val="20"/>
          <w:color w:val="auto"/>
        </w:rPr>
        <w:tab/>
      </w:r>
      <w:r>
        <w:rPr>
          <w:rFonts w:ascii="Courier New" w:cs="Courier New" w:eastAsia="Courier New" w:hAnsi="Courier New"/>
          <w:sz w:val="15"/>
          <w:szCs w:val="15"/>
          <w:color w:val="auto"/>
        </w:rPr>
        <w:t>COMPANY TO PROVIDE STOCK.</w:t>
      </w:r>
    </w:p>
    <w:p>
      <w:pPr>
        <w:spacing w:after="0" w:line="362" w:lineRule="exact"/>
        <w:rPr>
          <w:sz w:val="20"/>
          <w:szCs w:val="20"/>
          <w:color w:val="auto"/>
        </w:rPr>
      </w:pPr>
    </w:p>
    <w:p>
      <w:pPr>
        <w:ind w:left="820" w:right="2939" w:firstLine="830"/>
        <w:spacing w:after="0" w:line="250" w:lineRule="auto"/>
        <w:rPr>
          <w:sz w:val="20"/>
          <w:szCs w:val="20"/>
          <w:color w:val="auto"/>
        </w:rPr>
      </w:pPr>
      <w:r>
        <w:rPr>
          <w:rFonts w:ascii="Courier New" w:cs="Courier New" w:eastAsia="Courier New" w:hAnsi="Courier New"/>
          <w:sz w:val="15"/>
          <w:szCs w:val="15"/>
          <w:color w:val="auto"/>
        </w:rPr>
        <w:t>The Company shall at all times reserve and keep available, free from preemptive rights, out of its authorized but unissued Common Stock, solely for the purpose of issuance upon conversion of Notes as herein provided, a sufficient number of shares of Common Stock to permit the conversion of all outstanding Notes for shares of Common Stock. All shares of Common Stock which may be issued upon conversion of the Notes shall be duly authorized, validly issued, fully paid and nonassessable when so issued. Shares of Common Stock issuable upon conversion of a Restricted Note shall bear such restrictive legends as the Company shall provide in accordance with applicable law. If shares of Common Stock are to be issued upon conversion of a Restricted Note and they are to be registered in a name other than that of the holder of such Restricted Note, then the Person in whose name such shares of Common Stock are to be registered must deliver to the Trustee a certificate satisfactory to the</w:t>
      </w:r>
    </w:p>
    <w:p>
      <w:pPr>
        <w:spacing w:after="0" w:line="200" w:lineRule="exact"/>
        <w:rPr>
          <w:sz w:val="20"/>
          <w:szCs w:val="20"/>
          <w:color w:val="auto"/>
        </w:rPr>
      </w:pPr>
    </w:p>
    <w:p>
      <w:pPr>
        <w:spacing w:after="0" w:line="33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5"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33</w:t>
      </w:r>
    </w:p>
    <w:p>
      <w:pPr>
        <w:spacing w:after="0" w:line="185" w:lineRule="exact"/>
        <w:rPr>
          <w:sz w:val="20"/>
          <w:szCs w:val="20"/>
          <w:color w:val="auto"/>
        </w:rPr>
      </w:pPr>
    </w:p>
    <w:p>
      <w:pPr>
        <w:ind w:left="820" w:right="3579"/>
        <w:spacing w:after="0" w:line="253" w:lineRule="auto"/>
        <w:rPr>
          <w:sz w:val="20"/>
          <w:szCs w:val="20"/>
          <w:color w:val="auto"/>
        </w:rPr>
      </w:pPr>
      <w:r>
        <w:rPr>
          <w:rFonts w:ascii="Courier New" w:cs="Courier New" w:eastAsia="Courier New" w:hAnsi="Courier New"/>
          <w:sz w:val="15"/>
          <w:szCs w:val="15"/>
          <w:color w:val="auto"/>
        </w:rPr>
        <w:t>Company and signed by such Person as to compliance with the restrictions on transfer contained in such restrictive legends.</w:t>
      </w:r>
    </w:p>
    <w:p>
      <w:pPr>
        <w:spacing w:after="0" w:line="174"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5.06.</w:t>
      </w:r>
      <w:r>
        <w:rPr>
          <w:sz w:val="20"/>
          <w:szCs w:val="20"/>
          <w:color w:val="auto"/>
        </w:rPr>
        <w:tab/>
      </w:r>
      <w:r>
        <w:rPr>
          <w:rFonts w:ascii="Courier New" w:cs="Courier New" w:eastAsia="Courier New" w:hAnsi="Courier New"/>
          <w:sz w:val="15"/>
          <w:szCs w:val="15"/>
          <w:color w:val="auto"/>
        </w:rPr>
        <w:t>ADJUSTMENT OF CONVERSION PRICE.</w:t>
      </w:r>
    </w:p>
    <w:p>
      <w:pPr>
        <w:spacing w:after="0" w:line="362" w:lineRule="exact"/>
        <w:rPr>
          <w:sz w:val="20"/>
          <w:szCs w:val="20"/>
          <w:color w:val="auto"/>
        </w:rPr>
      </w:pPr>
    </w:p>
    <w:p>
      <w:pPr>
        <w:ind w:left="820" w:right="2939" w:firstLine="830"/>
        <w:spacing w:after="0" w:line="253" w:lineRule="auto"/>
        <w:rPr>
          <w:sz w:val="20"/>
          <w:szCs w:val="20"/>
          <w:color w:val="auto"/>
        </w:rPr>
      </w:pPr>
      <w:r>
        <w:rPr>
          <w:rFonts w:ascii="Courier New" w:cs="Courier New" w:eastAsia="Courier New" w:hAnsi="Courier New"/>
          <w:sz w:val="15"/>
          <w:szCs w:val="15"/>
          <w:color w:val="auto"/>
        </w:rPr>
        <w:t>The Conversion Price shall be subject to adjustment from time to time as follows:</w:t>
      </w:r>
    </w:p>
    <w:p>
      <w:pPr>
        <w:spacing w:after="0" w:line="174" w:lineRule="exact"/>
        <w:rPr>
          <w:sz w:val="20"/>
          <w:szCs w:val="20"/>
          <w:color w:val="auto"/>
        </w:rPr>
      </w:pPr>
    </w:p>
    <w:p>
      <w:pPr>
        <w:ind w:left="820" w:right="2839" w:firstLine="835"/>
        <w:spacing w:after="0" w:line="250" w:lineRule="auto"/>
        <w:tabs>
          <w:tab w:leader="none" w:pos="202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(1) pay a dividend in shares of Common Stock to holders of Common Stock, (2) make a distribution in shares of Common Stock to holders of Common Stock, (3) subdivide its outstanding shares of Common Stock into a greater number of shares of Common Stock or (4) combine its outstanding shares of Common Stock into a smaller number of shares of Common Stock, the Conversion Price in effect immediately prior to such action shall be adjusted so that the Holder of any Note thereafter surrendered for conversion shall be entitled to receive the number of shares of Common Stock which he would have owned immediately following such action had such Notes been converted immediately prior thereto. Any adjustment made pursuant to this subsection (a) shall become effective immediately after the record date in the case of a dividend or distribution and shall become effective immediately after the effective date in the case of a subdivision or combination.</w:t>
      </w:r>
    </w:p>
    <w:p>
      <w:pPr>
        <w:spacing w:after="0" w:line="184" w:lineRule="exact"/>
        <w:rPr>
          <w:rFonts w:ascii="Courier New" w:cs="Courier New" w:eastAsia="Courier New" w:hAnsi="Courier New"/>
          <w:sz w:val="15"/>
          <w:szCs w:val="15"/>
          <w:color w:val="auto"/>
        </w:rPr>
      </w:pPr>
    </w:p>
    <w:p>
      <w:pPr>
        <w:ind w:left="820" w:right="2839" w:firstLine="835"/>
        <w:spacing w:after="0" w:line="250" w:lineRule="auto"/>
        <w:tabs>
          <w:tab w:leader="none" w:pos="202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issue rights or warrants to substantially all holders of Common Stock entitling them (for a period commencing no earlier than the record date for the determination of holders of Common Stock entitled to receive such rights or warrants and expiring not more than 45 days after such record date) to subscribe for or purchase shares of Common Stock (or securities convertible into Common Stock) at a price per share less than the current market price (as determined pursuant to subsection (f) below) of the Common Stock on such record date, the Conversion Price shall be adjusted so that the same shall equal the price determined by multiplying the Conversion Price in effect immediately prior to such record date by a fraction of which the numerator shall be the number of shares of Common Stock outstanding on such record date, plus the number of shares of Common Stock which the aggregate offering price of the offered shares of Common Stock (or the aggregate conversion price of the convertible securities so offered) would purchase at such current market price, and of which the denominator shall be the number of shares of Common Stock outstanding on such record date plus the number of additional shares of Common Stock offered (or into which the convertible securities so offered are convertible). Such adjustments shall become effective immediately after such record date.</w:t>
      </w:r>
    </w:p>
    <w:p>
      <w:pPr>
        <w:spacing w:after="0" w:line="186" w:lineRule="exact"/>
        <w:rPr>
          <w:rFonts w:ascii="Courier New" w:cs="Courier New" w:eastAsia="Courier New" w:hAnsi="Courier New"/>
          <w:sz w:val="15"/>
          <w:szCs w:val="15"/>
          <w:color w:val="auto"/>
        </w:rPr>
      </w:pPr>
    </w:p>
    <w:p>
      <w:pPr>
        <w:ind w:left="820" w:right="2939" w:firstLine="835"/>
        <w:spacing w:after="0" w:line="250" w:lineRule="auto"/>
        <w:tabs>
          <w:tab w:leader="none" w:pos="202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distribute to all holders of Common Stock shares of capital stock of the Company other than Common Stock, evidences of indebtedness or other assets (other than cash dividends out of current or retained earnings), or shall distribute to substantially all holders of Common Stock rights or warrants to subscribe for securities (other than those referred to in subsection</w:t>
      </w:r>
    </w:p>
    <w:p>
      <w:pPr>
        <w:spacing w:after="0" w:line="2" w:lineRule="exact"/>
        <w:rPr>
          <w:rFonts w:ascii="Courier New" w:cs="Courier New" w:eastAsia="Courier New" w:hAnsi="Courier New"/>
          <w:sz w:val="15"/>
          <w:szCs w:val="15"/>
          <w:color w:val="auto"/>
        </w:rPr>
      </w:pPr>
    </w:p>
    <w:p>
      <w:pPr>
        <w:ind w:left="820" w:right="2839" w:firstLine="5"/>
        <w:spacing w:after="0" w:line="251" w:lineRule="auto"/>
        <w:tabs>
          <w:tab w:leader="none" w:pos="118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then in each such case the Conversion Price shall be adjusted so that the same shall equal the price determined by multiplying the Conversion Price in effect immediately prior to the date of such distribution by a fraction of which the numerator shall be the current market price (determined as provided in subsection (f) below) of the Common Stock on the record date mentioned below less the then fair market value (as determined by the Board of Directors, whose determination shall be</w:t>
      </w:r>
    </w:p>
    <w:p>
      <w:pPr>
        <w:spacing w:after="0" w:line="200" w:lineRule="exact"/>
        <w:rPr>
          <w:sz w:val="20"/>
          <w:szCs w:val="20"/>
          <w:color w:val="auto"/>
        </w:rPr>
      </w:pPr>
    </w:p>
    <w:p>
      <w:pPr>
        <w:spacing w:after="0" w:line="33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5"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34</w:t>
      </w:r>
    </w:p>
    <w:p>
      <w:pPr>
        <w:spacing w:after="0" w:line="185" w:lineRule="exact"/>
        <w:rPr>
          <w:sz w:val="20"/>
          <w:szCs w:val="20"/>
          <w:color w:val="auto"/>
        </w:rPr>
      </w:pPr>
    </w:p>
    <w:p>
      <w:pPr>
        <w:ind w:left="540" w:right="2839"/>
        <w:spacing w:after="0" w:line="250" w:lineRule="auto"/>
        <w:rPr>
          <w:sz w:val="20"/>
          <w:szCs w:val="20"/>
          <w:color w:val="auto"/>
        </w:rPr>
      </w:pPr>
      <w:r>
        <w:rPr>
          <w:rFonts w:ascii="Courier New" w:cs="Courier New" w:eastAsia="Courier New" w:hAnsi="Courier New"/>
          <w:sz w:val="15"/>
          <w:szCs w:val="15"/>
          <w:color w:val="auto"/>
        </w:rPr>
        <w:t>conclusive evidence of such fair market value and described in a Board Resolution) of the portion of the assets so distributed or of such subscription rights or warrants applicable to one share of Common Stock, and of which the denominator shall be such current market price of the Common Stock. Such adjustment shall become effective immediately after the record date for the determination of the holders of Common Stock entitled to receive such distribution. Notwithstanding the foregoing, in the event that the Company shall distribute rights or warrants (other than those referred to in subsection (b) above) ("RIGHTS") pro rata to holders of Common Stock, the Company may, in lieu of making any adjustment pursuant to this Section 5.06, make proper provision so that each Holder of a Note who converts such Note (or any portion thereof) after the record date for such distribution and prior to the expiration or redemption of the Rights shall be entitled to receive upon such conversion, in addition to the shares of Common Stock issuable upon such conversion (the "CONVERSION SHARES"), a number of Rights to be determined as follows: (i) if such conversion occurs on or prior to the date for the distribution to the holders of Rights of separate certificates evidencing such Rights (the "DISTRIBUTION DATE"), the same number of Rights to which a holder of a number of shares of Common Stock equal to the number of Conversion Shares is entitled at the time of such conversion in accordance with the terms and provisions of and applicable to the Rights; and (ii) if such conversion occurs after the Distribution Date, the same number of Rights to which a holder of the number of shares of Common Stock into which the principal amount of the Note so converted was convertible immediately prior to the Distribution Date would have been entitled on the Distribution Date in accordance with the terms and provisions of and applicable to the Rights.</w:t>
      </w:r>
    </w:p>
    <w:p>
      <w:pPr>
        <w:spacing w:after="0" w:line="367" w:lineRule="exact"/>
        <w:rPr>
          <w:sz w:val="20"/>
          <w:szCs w:val="20"/>
          <w:color w:val="auto"/>
        </w:rPr>
      </w:pPr>
    </w:p>
    <w:p>
      <w:pPr>
        <w:ind w:left="540" w:right="2839" w:firstLine="835"/>
        <w:spacing w:after="0" w:line="250" w:lineRule="auto"/>
        <w:tabs>
          <w:tab w:leader="none" w:pos="17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by dividend or otherwise, at any time distribute to all holders of its Common Stock cash (including any distributions of cash out of current or retained earnings of the Company but excluding any cash that is distributed as part of a distribution requiring a Conversion Price adjustment pursuant to paragraph (c) of this Section 5.06) in an aggregate amount that, together with the sum of (x) the aggregate amount of any other distributions to all holders of its Common Stock made in cash plus (y) all Excess Payments, in each case made within the 12 months preceding the date fixed for determining the stockholders entitled to such distribution (the "DISTRIBUTION RECORD DATE") and in respect of which no Conversion Price adjustment pursuant to paragraphs (c) or (e) of this Section 5.06 or this paragraph (d) has been made, exceeds 15% of the product of the current market price per share (determined as provided in paragraph (f) of this Section 5.06) of the Common Stock on the Distribution Record Date times the number of shares of Common Stock outstanding on the Distribution Record Date (excluding shares held in the treasury of the Company), the Conversion Price shall be reduced so that the same shall equal the price determined by multiplying such Conversion Price in effect immediately prior to the effectiveness of the Conversion Price reduction contemplated by this paragraph (d) by a fraction of which the numerator shall be the current market price per share (determined as provided in paragraph (f) of this Section 5.06) of the Common Stock on the Distribution Record Date less the amount of such cash and other consideration (including any Excess Payments) so distributed applicable to one share (based on the pro rata portion of the aggregate amount of such cash and other consideration (including any Excess Payments), divided by the shares of Common Stock outstanding on the Distribution Record Date) of Common Stock and the denominator shall be such current market price per share (determined as provided in paragraph (f) of this Section 5.06) of the Common Stock on the Distribution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939"/>
          </w:cols>
          <w:pgMar w:left="520" w:top="295"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35</w:t>
      </w:r>
    </w:p>
    <w:p>
      <w:pPr>
        <w:spacing w:after="0" w:line="185" w:lineRule="exact"/>
        <w:rPr>
          <w:sz w:val="20"/>
          <w:szCs w:val="20"/>
          <w:color w:val="auto"/>
        </w:rPr>
      </w:pPr>
    </w:p>
    <w:p>
      <w:pPr>
        <w:jc w:val="both"/>
        <w:ind w:left="540" w:right="3119"/>
        <w:spacing w:after="0" w:line="252" w:lineRule="auto"/>
        <w:rPr>
          <w:sz w:val="20"/>
          <w:szCs w:val="20"/>
          <w:color w:val="auto"/>
        </w:rPr>
      </w:pPr>
      <w:r>
        <w:rPr>
          <w:rFonts w:ascii="Courier New" w:cs="Courier New" w:eastAsia="Courier New" w:hAnsi="Courier New"/>
          <w:sz w:val="15"/>
          <w:szCs w:val="15"/>
          <w:color w:val="auto"/>
        </w:rPr>
        <w:t>Record Date, such reduction to become effective immediately prior to the opening of business on the day following the Distribution Record Date.</w:t>
      </w:r>
    </w:p>
    <w:p>
      <w:pPr>
        <w:spacing w:after="0" w:line="175" w:lineRule="exact"/>
        <w:rPr>
          <w:sz w:val="20"/>
          <w:szCs w:val="20"/>
          <w:color w:val="auto"/>
        </w:rPr>
      </w:pPr>
    </w:p>
    <w:p>
      <w:pPr>
        <w:ind w:left="540" w:right="2839" w:firstLine="835"/>
        <w:spacing w:after="0" w:line="250" w:lineRule="auto"/>
        <w:tabs>
          <w:tab w:leader="none" w:pos="174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 tender offer or other negotiated transaction made by the Company or any Subsidiary for all or any portion of the Common Stock shall be consummated, if an Excess Payment is made in respect of such tender offer or other negotiated transaction and the amount of such Excess Payment, together with the sum of (x) the aggregate amount of all Excess Payments plus (y) the aggregate amount of all distributions to all holders of the Common Stock made in cash (specifically including distributions of cash out of retained earnings), in each case made within the 12 months preceding the date of payment of such current negotiated transaction consideration or expiration of such current tender offer, as the case may be (the "PURCHASE DATE"), and as to which no adjustment pursuant to paragraph</w:t>
      </w:r>
    </w:p>
    <w:p>
      <w:pPr>
        <w:spacing w:after="0" w:line="5" w:lineRule="exact"/>
        <w:rPr>
          <w:rFonts w:ascii="Courier New" w:cs="Courier New" w:eastAsia="Courier New" w:hAnsi="Courier New"/>
          <w:sz w:val="15"/>
          <w:szCs w:val="15"/>
          <w:color w:val="auto"/>
        </w:rPr>
      </w:pPr>
    </w:p>
    <w:p>
      <w:pPr>
        <w:ind w:left="540" w:right="2839" w:firstLine="5"/>
        <w:spacing w:after="0" w:line="250" w:lineRule="auto"/>
        <w:tabs>
          <w:tab w:leader="none" w:pos="90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paragraph (d) of this Section 5.06 or this paragraph (e) has been made, exceeds 15% of the product of the current market price per share (determined as provided in paragraph (f) of this Section 5.06) of the Common Stock on the Purchase Date times the number of shares of Common Stock outstanding (including any tendered shares but excluding any shares held in the treasury of the Company) on the Purchase Date, the Conversion Price shall be reduced so that the same shall equal the price determined by multiplying such Conversion Price in effect immediately prior to the effectiveness of the Conversion Price reduction contemplated by this paragraph (e) by a fraction of which the numerator shall be the current market price per share (determined as provided in paragraph (f) of this Section 5.06) of the Common Stock on the Purchase Date less the amount of such Excess Payments and such cash distributions, if any, applicable to one share (based on the pro rata portion of the aggregate amount of such Excess Payments and such cash distributions, divided by the shares of Common Stock outstanding on the Purchase Date) of Common Stock and the denominator shall be such current market price per share (determined as provided in paragraph (f) of this Section 5.06) of the Common Stock on the Purchase Date, such reduction to become effective immediately prior to the opening of business on the day following the Purchase Date.</w:t>
      </w:r>
    </w:p>
    <w:p>
      <w:pPr>
        <w:spacing w:after="0" w:line="186" w:lineRule="exact"/>
        <w:rPr>
          <w:rFonts w:ascii="Courier New" w:cs="Courier New" w:eastAsia="Courier New" w:hAnsi="Courier New"/>
          <w:sz w:val="15"/>
          <w:szCs w:val="15"/>
          <w:color w:val="auto"/>
        </w:rPr>
      </w:pPr>
    </w:p>
    <w:p>
      <w:pPr>
        <w:ind w:left="540" w:right="2839" w:firstLine="835"/>
        <w:spacing w:after="0" w:line="250" w:lineRule="auto"/>
        <w:tabs>
          <w:tab w:leader="none" w:pos="174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market price per share of Common Stock on any date shall be deemed to be the average of the Daily Market Prices for the shorter of (i) ten consecutive business days ending on the last full trading day on the exchange or market referred to in determining such Daily Market Prices prior to the time of determination or (ii) the period commencing on the date next succeeding the first public announcement of the issuance of such rights or such warrants or such other distribution or such negotiated transaction through such last full trading day on the exchange or market referred to in determining such Daily Market Prices prior to the time of determination.</w:t>
      </w:r>
    </w:p>
    <w:p>
      <w:pPr>
        <w:spacing w:after="0" w:line="181" w:lineRule="exact"/>
        <w:rPr>
          <w:rFonts w:ascii="Courier New" w:cs="Courier New" w:eastAsia="Courier New" w:hAnsi="Courier New"/>
          <w:sz w:val="15"/>
          <w:szCs w:val="15"/>
          <w:color w:val="auto"/>
        </w:rPr>
      </w:pPr>
    </w:p>
    <w:p>
      <w:pPr>
        <w:ind w:left="540" w:right="2939" w:firstLine="835"/>
        <w:spacing w:after="0" w:line="250" w:lineRule="auto"/>
        <w:tabs>
          <w:tab w:leader="none" w:pos="174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case in which this Section 5.06 shall require that an adjustment be made immediately following a record date, the Company may elect to defer (but only until five Business Days following the filing by the Company with the Trustee of the certificate described in Section 5.10 hereof) issuing to the Holder of any Note converted after such record date the shares of Common Stock and other Capital Stock of the Company issuable upon such conversion over and above the shares of Common Stock and other Capital Stock of the Company issuable upon such conversion only on the basis of the Conversion Price prior to adjustment; and, in lieu of the shares the issuance of which is so deferred, the Company shall</w:t>
      </w:r>
    </w:p>
    <w:p>
      <w:pPr>
        <w:spacing w:after="0" w:line="200" w:lineRule="exact"/>
        <w:rPr>
          <w:sz w:val="20"/>
          <w:szCs w:val="20"/>
          <w:color w:val="auto"/>
        </w:rPr>
      </w:pPr>
    </w:p>
    <w:p>
      <w:pPr>
        <w:spacing w:after="0" w:line="33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939"/>
          </w:cols>
          <w:pgMar w:left="520" w:top="295"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36</w:t>
      </w:r>
    </w:p>
    <w:p>
      <w:pPr>
        <w:spacing w:after="0" w:line="185" w:lineRule="exact"/>
        <w:rPr>
          <w:sz w:val="20"/>
          <w:szCs w:val="20"/>
          <w:color w:val="auto"/>
        </w:rPr>
      </w:pPr>
    </w:p>
    <w:p>
      <w:pPr>
        <w:ind w:left="820" w:right="3679"/>
        <w:spacing w:after="0" w:line="253" w:lineRule="auto"/>
        <w:rPr>
          <w:sz w:val="20"/>
          <w:szCs w:val="20"/>
          <w:color w:val="auto"/>
        </w:rPr>
      </w:pPr>
      <w:r>
        <w:rPr>
          <w:rFonts w:ascii="Courier New" w:cs="Courier New" w:eastAsia="Courier New" w:hAnsi="Courier New"/>
          <w:sz w:val="15"/>
          <w:szCs w:val="15"/>
          <w:color w:val="auto"/>
        </w:rPr>
        <w:t>issue or cause its transfer agents to issue due bills or other appropriate evidence of the right to receive such shares.</w:t>
      </w:r>
    </w:p>
    <w:p>
      <w:pPr>
        <w:spacing w:after="0" w:line="174"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5.07.</w:t>
      </w:r>
      <w:r>
        <w:rPr>
          <w:sz w:val="20"/>
          <w:szCs w:val="20"/>
          <w:color w:val="auto"/>
        </w:rPr>
        <w:tab/>
      </w:r>
      <w:r>
        <w:rPr>
          <w:rFonts w:ascii="Courier New" w:cs="Courier New" w:eastAsia="Courier New" w:hAnsi="Courier New"/>
          <w:sz w:val="15"/>
          <w:szCs w:val="15"/>
          <w:color w:val="auto"/>
        </w:rPr>
        <w:t>NO ADJUSTMENT.</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No adjustment in the Conversion Price shall be required until cumulative adjustments amount to 1% or more of the Conversion Price as last adjusted; provided, however, that any adjustments which by reason of this Section 5.07 are not required to be made shall be carried forward and taken into account in any subsequent adjustment. All calculations under this Article V shall be made to the nearest cent or to the nearest one-hundredth of a share, as the case may be. No adjustment need be made for rights to purchase Common Stock pursuant to a Company plan for reinvestment of dividends or interest. No adjustment need be made for a change in the par value or no par value of the Common Stock.</w:t>
      </w:r>
    </w:p>
    <w:p>
      <w:pPr>
        <w:spacing w:after="0" w:line="182"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5.08.</w:t>
      </w:r>
      <w:r>
        <w:rPr>
          <w:sz w:val="20"/>
          <w:szCs w:val="20"/>
          <w:color w:val="auto"/>
        </w:rPr>
        <w:tab/>
      </w:r>
      <w:r>
        <w:rPr>
          <w:rFonts w:ascii="Courier New" w:cs="Courier New" w:eastAsia="Courier New" w:hAnsi="Courier New"/>
          <w:sz w:val="15"/>
          <w:szCs w:val="15"/>
          <w:color w:val="auto"/>
        </w:rPr>
        <w:t>OTHER ADJUSTMENTS.</w:t>
      </w:r>
    </w:p>
    <w:p>
      <w:pPr>
        <w:spacing w:after="0" w:line="185" w:lineRule="exact"/>
        <w:rPr>
          <w:sz w:val="20"/>
          <w:szCs w:val="20"/>
          <w:color w:val="auto"/>
        </w:rPr>
      </w:pPr>
    </w:p>
    <w:p>
      <w:pPr>
        <w:ind w:left="820" w:right="2839" w:firstLine="835"/>
        <w:spacing w:after="0" w:line="251" w:lineRule="auto"/>
        <w:tabs>
          <w:tab w:leader="none" w:pos="20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as a result of an adjustment made pursuant to Section 5.06 hereof, the Holder of any Note thereafter surrendered for conversion shall become entitled to receive any shares of Capital Stock of the Company other than shares of its Common Stock, thereafter the Conversion Price of such other shares so receivable upon conversion of any Note shall be subject to adjustment from time to time in a manner and on terms as nearly equivalent as practicable to the provisions with respect to Common Stock contained in this Article V.</w:t>
      </w:r>
    </w:p>
    <w:p>
      <w:pPr>
        <w:spacing w:after="0" w:line="175" w:lineRule="exact"/>
        <w:rPr>
          <w:rFonts w:ascii="Courier New" w:cs="Courier New" w:eastAsia="Courier New" w:hAnsi="Courier New"/>
          <w:sz w:val="15"/>
          <w:szCs w:val="15"/>
          <w:color w:val="auto"/>
        </w:rPr>
      </w:pPr>
    </w:p>
    <w:p>
      <w:pPr>
        <w:ind w:left="820" w:right="2839" w:firstLine="835"/>
        <w:spacing w:after="0" w:line="251" w:lineRule="auto"/>
        <w:tabs>
          <w:tab w:leader="none" w:pos="20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shares of Common Stock are not delivered after the expiration of any of the rights or warrants referred to in Section 5.06(b) and Section 5.06(c) hereof, the Conversion Price shall be readjusted to the Conversion Price which would otherwise be in effect had the adjustment made upon the issuance of such rights or warrants been made on the basis of delivery of only the number of shares of Common Stock actually delivered.</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5.09.</w:t>
      </w:r>
      <w:r>
        <w:rPr>
          <w:sz w:val="20"/>
          <w:szCs w:val="20"/>
          <w:color w:val="auto"/>
        </w:rPr>
        <w:tab/>
      </w:r>
      <w:r>
        <w:rPr>
          <w:rFonts w:ascii="Courier New" w:cs="Courier New" w:eastAsia="Courier New" w:hAnsi="Courier New"/>
          <w:sz w:val="15"/>
          <w:szCs w:val="15"/>
          <w:color w:val="auto"/>
        </w:rPr>
        <w:t>ADJUSTMENTS FOR TAX PURPOSES.</w:t>
      </w:r>
    </w:p>
    <w:p>
      <w:pPr>
        <w:spacing w:after="0" w:line="362"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The Company may make such reductions in the Conversion Price, in addition to those required by Section 5.06 hereof, as it determines to be advisable in order that any stock dividend, subdivision of shares, distribution or rights to purchase stock or securities or distribution of securities convertible into or exchangeable for stock made by the Company to its stockholders will not be taxable to the recipients thereof.</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5.10.</w:t>
      </w:r>
      <w:r>
        <w:rPr>
          <w:sz w:val="20"/>
          <w:szCs w:val="20"/>
          <w:color w:val="auto"/>
        </w:rPr>
        <w:tab/>
      </w:r>
      <w:r>
        <w:rPr>
          <w:rFonts w:ascii="Courier New" w:cs="Courier New" w:eastAsia="Courier New" w:hAnsi="Courier New"/>
          <w:sz w:val="15"/>
          <w:szCs w:val="15"/>
          <w:color w:val="auto"/>
        </w:rPr>
        <w:t>NOTICE OF ADJUSTMENT.</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Whenever the Conversion Price is adjusted, the Company shall promptly mail to Holders at the addresses appearing on the Registrar's books a notice of the adjustment and file with the Trustee an Officers' Certificate briefly stating the facts requiring the adjustment and the manner of computing it. The certificate shall be conclusive evidence of the correctness of such adjustment. Unless and until a Trust Officer of the Trustee shall receive written notice of an adjustment of the Conversion Price, the Trustee may assume without inquiry that the Conversion Price has not been adjusted and that the last Conversion Price of which it has knowledge remains in effect.</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5"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37</w:t>
      </w:r>
    </w:p>
    <w:p>
      <w:pPr>
        <w:spacing w:after="0" w:line="18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5.11.</w:t>
      </w:r>
      <w:r>
        <w:rPr>
          <w:sz w:val="20"/>
          <w:szCs w:val="20"/>
          <w:color w:val="auto"/>
        </w:rPr>
        <w:tab/>
      </w:r>
      <w:r>
        <w:rPr>
          <w:rFonts w:ascii="Courier New" w:cs="Courier New" w:eastAsia="Courier New" w:hAnsi="Courier New"/>
          <w:sz w:val="15"/>
          <w:szCs w:val="15"/>
          <w:color w:val="auto"/>
        </w:rPr>
        <w:t>NOTICE OF CERTAIN TRANSACTIONS.</w:t>
      </w:r>
    </w:p>
    <w:p>
      <w:pPr>
        <w:spacing w:after="0" w:line="36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In the event that:</w:t>
      </w:r>
    </w:p>
    <w:p>
      <w:pPr>
        <w:spacing w:after="0" w:line="362" w:lineRule="exact"/>
        <w:rPr>
          <w:sz w:val="20"/>
          <w:szCs w:val="20"/>
          <w:color w:val="auto"/>
        </w:rPr>
      </w:pPr>
    </w:p>
    <w:p>
      <w:pPr>
        <w:ind w:left="820" w:right="3479" w:firstLine="835"/>
        <w:spacing w:after="0" w:line="253" w:lineRule="auto"/>
        <w:tabs>
          <w:tab w:leader="none" w:pos="20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takes any action which would require an adjustment in the Conversion Price;</w:t>
      </w:r>
    </w:p>
    <w:p>
      <w:pPr>
        <w:spacing w:after="0" w:line="351" w:lineRule="exact"/>
        <w:rPr>
          <w:rFonts w:ascii="Courier New" w:cs="Courier New" w:eastAsia="Courier New" w:hAnsi="Courier New"/>
          <w:sz w:val="15"/>
          <w:szCs w:val="15"/>
          <w:color w:val="auto"/>
        </w:rPr>
      </w:pPr>
    </w:p>
    <w:p>
      <w:pPr>
        <w:ind w:left="820" w:right="3679" w:firstLine="835"/>
        <w:spacing w:after="0" w:line="253" w:lineRule="auto"/>
        <w:tabs>
          <w:tab w:leader="none" w:pos="20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takes any action that would require a supplemental indenture pursuant to Section 5.12; or</w:t>
      </w:r>
    </w:p>
    <w:p>
      <w:pPr>
        <w:spacing w:after="0" w:line="351" w:lineRule="exact"/>
        <w:rPr>
          <w:rFonts w:ascii="Courier New" w:cs="Courier New" w:eastAsia="Courier New" w:hAnsi="Courier New"/>
          <w:sz w:val="15"/>
          <w:szCs w:val="15"/>
          <w:color w:val="auto"/>
        </w:rPr>
      </w:pPr>
    </w:p>
    <w:p>
      <w:pPr>
        <w:ind w:left="2020" w:hanging="365"/>
        <w:spacing w:after="0"/>
        <w:tabs>
          <w:tab w:leader="none" w:pos="20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dissolution or liquidation of the Company;</w:t>
      </w:r>
    </w:p>
    <w:p>
      <w:pPr>
        <w:spacing w:after="0" w:line="362" w:lineRule="exact"/>
        <w:rPr>
          <w:sz w:val="20"/>
          <w:szCs w:val="20"/>
          <w:color w:val="auto"/>
        </w:rPr>
      </w:pPr>
    </w:p>
    <w:p>
      <w:pPr>
        <w:ind w:left="820" w:right="2839"/>
        <w:spacing w:after="0" w:line="250" w:lineRule="auto"/>
        <w:rPr>
          <w:sz w:val="20"/>
          <w:szCs w:val="20"/>
          <w:color w:val="auto"/>
        </w:rPr>
      </w:pPr>
      <w:r>
        <w:rPr>
          <w:rFonts w:ascii="Courier New" w:cs="Courier New" w:eastAsia="Courier New" w:hAnsi="Courier New"/>
          <w:sz w:val="15"/>
          <w:szCs w:val="15"/>
          <w:color w:val="auto"/>
        </w:rPr>
        <w:t>the Company shall mail to Holders at the addresses appearing on the Registrar's books and the Trustee a notice stating the proposed record or effective date, as the case may be, to permit a Holder of a Note to convert such Note into shares of Common Stock prior to the record date for or the effective date of the transaction in order to receive the rights, warrants, securities or assets which a Holder of shares of Common Stock on that date may receive. The Company shall mail the notice at least 15 days before such date; however, failure to mail such notice or any defect therein shall not affect the validity of any transaction referred to in clause (1), (2) or (3) of this Section 5.11.</w:t>
      </w:r>
    </w:p>
    <w:p>
      <w:pPr>
        <w:spacing w:after="0" w:line="359"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SECTION 5.12. EFFECT OF RECLASSIFICATIONS, CONSOLIDATIONS, MERGERS OR SALES ON CONVERSION PRIVILEGE.</w:t>
      </w:r>
    </w:p>
    <w:p>
      <w:pPr>
        <w:spacing w:after="0" w:line="35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If any of the following shall occur, namely: (i) any reclassification or change of outstanding shares of Common Stock issuable upon conversion of Notes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Company, or such successor or purchasing corporation, as the case may be, shall, as a condition precedent to such reclassification, change, consolidation, merger, sale or conveyance, execute and deliver to the Trustee a supplemental indenture in form reasonably satisfactory to the Trustee providing that the Holder of each Note then outstanding shall have the right to convert such Note into the kind and amount of shares of stock and other securities and property (including cash) receivable upon such reclassification, change, consolidation, merger, sale or conveyance by a holder of the number of shares of Common Stock deliverable upon conversion of such Note immediately prior to such reclassification, change, consolidation, merger, sale or conveyance. Such supplemental indenture shall provide for adjustments of the Conversion Price which shall be as nearly equivalent as may be practicable to the adjustments of the Conversion Price provided for in this Article V. The foregoing, however, shall not in any way affect the right a Holder of a Note may otherwise have, pursuant to clause (ii) of the last sentence of subsection (c) of Section 5.06 hereof, to receive Rights upon conversion of a Note. If in the case of any such consolidation, merger, sale or</w:t>
      </w:r>
    </w:p>
    <w:p>
      <w:pPr>
        <w:spacing w:after="0" w:line="3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5"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38</w:t>
      </w:r>
    </w:p>
    <w:p>
      <w:pPr>
        <w:spacing w:after="0" w:line="8" w:lineRule="exact"/>
        <w:rPr>
          <w:sz w:val="20"/>
          <w:szCs w:val="20"/>
          <w:color w:val="auto"/>
        </w:rPr>
      </w:pPr>
    </w:p>
    <w:p>
      <w:pPr>
        <w:ind w:left="820" w:right="2839"/>
        <w:spacing w:after="0" w:line="250" w:lineRule="auto"/>
        <w:rPr>
          <w:sz w:val="20"/>
          <w:szCs w:val="20"/>
          <w:color w:val="auto"/>
        </w:rPr>
      </w:pPr>
      <w:r>
        <w:rPr>
          <w:rFonts w:ascii="Courier New" w:cs="Courier New" w:eastAsia="Courier New" w:hAnsi="Courier New"/>
          <w:sz w:val="15"/>
          <w:szCs w:val="15"/>
          <w:color w:val="auto"/>
        </w:rPr>
        <w:t>conveyance,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or conveyance, then such supplemental indenture shall also be executed by such other corporation and shall contain such additional provisions to protect the interests of the Holders of the Notes as the Board of Directors of the Company shall reasonably consider necessary by reason of the foregoing. The provision of this Section 5.12 shall similarly apply to successive consolidations, mergers, sales or conveyances.</w:t>
      </w:r>
    </w:p>
    <w:p>
      <w:pPr>
        <w:spacing w:after="0" w:line="360"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In the event the Company shall execute a supplemental indenture pursuant to this Section 5.12, the Company shall promptly file with the Trustee an Officers' Certificate briefly stating the reasons therefor, the kind or amount of shares of stock or securities or property (including cash) receivable by Holders of the Notes upon the conversion of their Notes after any such reclassification, change, consolidation, merger, sale or conveyance and any adjustment to be made with respect thereto.</w:t>
      </w:r>
    </w:p>
    <w:p>
      <w:pPr>
        <w:spacing w:after="0" w:line="17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5.13.</w:t>
      </w:r>
      <w:r>
        <w:rPr>
          <w:sz w:val="20"/>
          <w:szCs w:val="20"/>
          <w:color w:val="auto"/>
        </w:rPr>
        <w:tab/>
      </w:r>
      <w:r>
        <w:rPr>
          <w:rFonts w:ascii="Courier New" w:cs="Courier New" w:eastAsia="Courier New" w:hAnsi="Courier New"/>
          <w:sz w:val="15"/>
          <w:szCs w:val="15"/>
          <w:color w:val="auto"/>
        </w:rPr>
        <w:t>TRUSTEE'S DISCLAIMER.</w:t>
      </w:r>
    </w:p>
    <w:p>
      <w:pPr>
        <w:spacing w:after="0" w:line="362" w:lineRule="exact"/>
        <w:rPr>
          <w:sz w:val="20"/>
          <w:szCs w:val="20"/>
          <w:color w:val="auto"/>
        </w:rPr>
      </w:pPr>
    </w:p>
    <w:p>
      <w:pPr>
        <w:ind w:left="820" w:right="2939" w:firstLine="830"/>
        <w:spacing w:after="0" w:line="250" w:lineRule="auto"/>
        <w:rPr>
          <w:sz w:val="20"/>
          <w:szCs w:val="20"/>
          <w:color w:val="auto"/>
        </w:rPr>
      </w:pPr>
      <w:r>
        <w:rPr>
          <w:rFonts w:ascii="Courier New" w:cs="Courier New" w:eastAsia="Courier New" w:hAnsi="Courier New"/>
          <w:sz w:val="15"/>
          <w:szCs w:val="15"/>
          <w:color w:val="auto"/>
        </w:rPr>
        <w:t>The Trustee has no duty to determine when an adjustment under this Article V should be made, how it should be made or what such adjustment should be, but may accept as conclusive evidence of the correctness of any such adjustment, and shall be protected in relying upon the Officers' Certificate with respect thereto which the Company is obligated to file with the Trustee pursuant to Section 5.10 hereof. The Trustee makes no representation as to the validity or value of any securities or assets issued upon conversion of Notes, and the Trustee shall not be responsible for the Company's failure to comply with any provisions of this Article V.</w:t>
      </w:r>
    </w:p>
    <w:p>
      <w:pPr>
        <w:spacing w:after="0" w:line="359"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The Trustee shall not be under any responsibility to determine the correctness of any provisions contained in any supplemental indenture executed pursuant to Section 5.12, but may accept as conclusive evidence of the correctness thereof, and shall be protected in relying upon, the Officers' Certificate with respect thereto which the Company is obligated to file with the Trustee pursuant to Section 5.12 hereof.</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VI</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SUBORDINATION</w:t>
      </w:r>
    </w:p>
    <w:p>
      <w:pPr>
        <w:spacing w:after="0" w:line="18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5"/>
          <w:szCs w:val="15"/>
          <w:color w:val="auto"/>
        </w:rPr>
        <w:t>AGREEMENT TO SUBORDINATE AND RANKING.</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The Company, for itself and its successors, and each Holder, by its acceptance of Notes, agree that the payment of the principal of or interest on or any other amounts due on the Notes is subordinated in right of payment, to the extent and in the manner stated in this Article VI, to the prior payment in full of all existing and future Senior Debt. The Notes shall rank pari passu with, and shall not be senior in right of payment to such other Indebtedness of the Company whether outstanding on the date of this Indenture or hereafter created, incurred, issued or guaranteed by the Company, where the instrument creating or evidencing such Indebtedness expressly provides that such Indebtedness ranks pari passu with the Notes.</w:t>
      </w:r>
    </w:p>
    <w:p>
      <w:pPr>
        <w:spacing w:after="0" w:line="3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5"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39</w:t>
      </w:r>
    </w:p>
    <w:p>
      <w:pPr>
        <w:spacing w:after="0" w:line="8"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5"/>
          <w:szCs w:val="15"/>
          <w:color w:val="auto"/>
        </w:rPr>
        <w:t>NO PAYMENT ON NOTES IF SENIOR DEBT IN DEFAULT.</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Anything in this Indenture to the contrary notwithstanding, no payment on account of principal of or redemption of, interest on, Special Interest on, or other amounts due on the Notes, and no redemption, purchase, or other acquisition of the Notes, shall be made by or on behalf of the Company (i) unless full payment of amounts then due for principal and interest and of all other amounts then due on all Senior Debt has been made or duly provided for pursuant to the terms of the instrument governing such Senior Debt, (ii) if, at the time of such payment, redemption, purchase or other acquisition, or immediately after giving effect thereto, there shall exist under any Senior Debt, or any agreement pursuant to which any Senior Debt is issued, any Default, which Default shall have resulted in the full amount of such Senior Debt being declared due and payable or (iii) if, at the time of such payment, redemption, purchase or other acquisition, the Trustee shall have received written notice from any of the holders of Designated Senior Debt or such holder's representative (a "PAYMENT BLOCKAGE NOTICE") that there exists under such Designated Senior Debt, or any agreement pursuant to which such Designated Senior Debt is issued, any Default, permitting the holders thereof to declare any amounts of such Designated Senior Debt due and payable, but only for the period (the "PAYMENT BLOCKAGE PERIOD") commencing on the date of receipt of the Payment Blockage Notice and ending (unless earlier terminated by notice given to the Trustee by the holders of such Designated Senior Debt) on the earlier of (a) the date on which such Event of Default shall have been cured or waived or (b)180 days from the receipt of the Payment Blockage Notice. Upon termination of the Payment Blockage Period, payments on account of principal of or interest on the Notes (other than, subject to Section 6.03 hereof, amounts due and payable by reason of the acceleration of the maturity of the Notes) and redemptions, purchases or other acquisitions may be made by or on behalf of the Company. Notwithstanding anything herein to the contrary, (a) only one Payment Blockage Notice may be given during any period of 360 consecutive days with respect to the same Event of Default or any other Events of Default on the same issue of Designated Senior Debt existing or continuing at the time of such notice unless such Event of Default or such other Events of Default have been cured or waived for a period of not less than 90 consecutive days and (b) no new Payment Blockage Period may be commenced by the holder or holders of Designated Senior Debt or their representative or representatives during any period of 360 consecutive days unless all Events of Default which were the subject of the immediately preceding Payment Blockage Notice have been cured or waived.</w:t>
      </w:r>
    </w:p>
    <w:p>
      <w:pPr>
        <w:spacing w:after="0" w:line="200" w:lineRule="exact"/>
        <w:rPr>
          <w:sz w:val="20"/>
          <w:szCs w:val="20"/>
          <w:color w:val="auto"/>
        </w:rPr>
      </w:pPr>
    </w:p>
    <w:p>
      <w:pPr>
        <w:spacing w:after="0" w:line="350"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In the event that, notwithstanding the provisions of this Section 6.02, payments are made by or on behalf of the Company in contravention of the provisions of this Section 6.02, such payments shall be held by the Trustee, any Paying Agent or the holders, as applicable, in trust for the benefit of, and shall be paid over to and delivered to, the holders of Senior Debt or their representative or the trustee under the indenture or other agreement (if any), pursuant to which any instruments evidencing any Senior Debt may have been issued (as to which the Trustee shall be entitled to request and rely upon written certification from such holders of Senior Debt or related trustees) for application to the payment of all Senior Debt ratably according to the aggregate amounts remaining unpaid to the extent necessary to pay all Senior Debt in full in accordance with the terms of such Senior Debt, after giving effect to any concurrent payment or distribution to or for the holders of Senior Debt.</w:t>
      </w:r>
    </w:p>
    <w:p>
      <w:pPr>
        <w:spacing w:after="0" w:line="200" w:lineRule="exact"/>
        <w:rPr>
          <w:sz w:val="20"/>
          <w:szCs w:val="20"/>
          <w:color w:val="auto"/>
        </w:rPr>
      </w:pPr>
    </w:p>
    <w:p>
      <w:pPr>
        <w:spacing w:after="0" w:line="33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5"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40</w:t>
      </w:r>
    </w:p>
    <w:p>
      <w:pPr>
        <w:spacing w:after="0" w:line="185" w:lineRule="exact"/>
        <w:rPr>
          <w:sz w:val="20"/>
          <w:szCs w:val="20"/>
          <w:color w:val="auto"/>
        </w:rPr>
      </w:pPr>
    </w:p>
    <w:p>
      <w:pPr>
        <w:ind w:left="820" w:right="3119" w:firstLine="830"/>
        <w:spacing w:after="0" w:line="251" w:lineRule="auto"/>
        <w:rPr>
          <w:sz w:val="20"/>
          <w:szCs w:val="20"/>
          <w:color w:val="auto"/>
        </w:rPr>
      </w:pPr>
      <w:r>
        <w:rPr>
          <w:rFonts w:ascii="Courier New" w:cs="Courier New" w:eastAsia="Courier New" w:hAnsi="Courier New"/>
          <w:sz w:val="15"/>
          <w:szCs w:val="15"/>
          <w:color w:val="auto"/>
        </w:rPr>
        <w:t>The Company shall give prompt written notice to the Trustee and any Paying Agent of any default or event of default under any Senior Debt or under any agreement pursuant to which any Senior Debt may have been issued.</w:t>
      </w:r>
    </w:p>
    <w:p>
      <w:pPr>
        <w:spacing w:after="0" w:line="176" w:lineRule="exact"/>
        <w:rPr>
          <w:sz w:val="20"/>
          <w:szCs w:val="20"/>
          <w:color w:val="auto"/>
        </w:rPr>
      </w:pPr>
    </w:p>
    <w:p>
      <w:pPr>
        <w:ind w:right="3579"/>
        <w:spacing w:after="0" w:line="253" w:lineRule="auto"/>
        <w:rPr>
          <w:sz w:val="20"/>
          <w:szCs w:val="20"/>
          <w:color w:val="auto"/>
        </w:rPr>
      </w:pPr>
      <w:r>
        <w:rPr>
          <w:rFonts w:ascii="Courier New" w:cs="Courier New" w:eastAsia="Courier New" w:hAnsi="Courier New"/>
          <w:sz w:val="15"/>
          <w:szCs w:val="15"/>
          <w:color w:val="auto"/>
        </w:rPr>
        <w:t>SECTION 6.03. DISTRIBUTION ON ACCELERATION OF NOTES; DISSOLUTION AND REORGANIZATION; SUBROGATION OF NOTES.</w:t>
      </w:r>
    </w:p>
    <w:p>
      <w:pPr>
        <w:spacing w:after="0" w:line="174" w:lineRule="exact"/>
        <w:rPr>
          <w:sz w:val="20"/>
          <w:szCs w:val="20"/>
          <w:color w:val="auto"/>
        </w:rPr>
      </w:pPr>
    </w:p>
    <w:p>
      <w:pPr>
        <w:ind w:left="820" w:right="2839" w:firstLine="835"/>
        <w:spacing w:after="0" w:line="250" w:lineRule="auto"/>
        <w:tabs>
          <w:tab w:leader="none" w:pos="20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Notes are declared due and payable because of the occurrence of an Event of Default, the Company or the Trustee shall give prompt written notice to the holders of all Senior Debt or to the trustee(s) for such Senior Debt (in each case to the extent known to the Trustee) of such acceleration. The Company may not pay the principal of or interest on or any other amounts due on the Notes until five days after such holders or trustee(s) of Senior Debt receive such notice and, thereafter, the Company may pay the principal of or interest on or any other amounts due on the Notes only if the provisions of this Article VI permit such payment.</w:t>
      </w:r>
    </w:p>
    <w:p>
      <w:pPr>
        <w:spacing w:after="0" w:line="181" w:lineRule="exact"/>
        <w:rPr>
          <w:rFonts w:ascii="Courier New" w:cs="Courier New" w:eastAsia="Courier New" w:hAnsi="Courier New"/>
          <w:sz w:val="15"/>
          <w:szCs w:val="15"/>
          <w:color w:val="auto"/>
        </w:rPr>
      </w:pPr>
    </w:p>
    <w:p>
      <w:pPr>
        <w:ind w:left="820" w:right="2939" w:firstLine="835"/>
        <w:spacing w:after="0" w:line="251" w:lineRule="auto"/>
        <w:tabs>
          <w:tab w:leader="none" w:pos="20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 any acceleration of the principal amount due on the Notes because of an Event of Default or (ii) any distribution of assets of the Company upon any dissolution, winding up, liquidation or reorganization of the Company (whether in bankruptcy, insolvency or receivership proceedings or upon an assignment for the benefit of creditors or any other dissolution, winding up, liquidation or reorganization of the Company):</w:t>
      </w:r>
    </w:p>
    <w:p>
      <w:pPr>
        <w:spacing w:after="0" w:line="175" w:lineRule="exact"/>
        <w:rPr>
          <w:rFonts w:ascii="Courier New" w:cs="Courier New" w:eastAsia="Courier New" w:hAnsi="Courier New"/>
          <w:sz w:val="15"/>
          <w:szCs w:val="15"/>
          <w:color w:val="auto"/>
        </w:rPr>
      </w:pPr>
    </w:p>
    <w:p>
      <w:pPr>
        <w:ind w:left="1660" w:right="2939" w:firstLine="826"/>
        <w:spacing w:after="0" w:line="251" w:lineRule="auto"/>
        <w:tabs>
          <w:tab w:leader="none" w:pos="286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all Senior Debt shall first be entitled to receive payment in full of the principal thereof, the interest thereon and any other amounts due thereon before the Holders are entitled to receive payment on account of the principal of or interest on or any other amounts due on the Notes;</w:t>
      </w:r>
    </w:p>
    <w:p>
      <w:pPr>
        <w:spacing w:after="0" w:line="175" w:lineRule="exact"/>
        <w:rPr>
          <w:rFonts w:ascii="Courier New" w:cs="Courier New" w:eastAsia="Courier New" w:hAnsi="Courier New"/>
          <w:sz w:val="15"/>
          <w:szCs w:val="15"/>
          <w:color w:val="auto"/>
        </w:rPr>
      </w:pPr>
    </w:p>
    <w:p>
      <w:pPr>
        <w:ind w:left="1660" w:right="2839" w:firstLine="826"/>
        <w:spacing w:after="0" w:line="250" w:lineRule="auto"/>
        <w:tabs>
          <w:tab w:leader="none" w:pos="286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or distribution of assets of the Company of any kind or character, whether in cash, property or securities (other than securities of the Company as reorganized or readjusted or securities of the Company or any other corporation provided for by a plan of reorganization or readjustment the payment of which is subordinate, at least to the extent provided in this Article VI with respect to the Notes, to the payment in full without diminution or modification by such plan of all Senior Debt), to which the Holders or the Trustee would be entitled except for the provisions of this Article VI, shall be paid by the liquidating trustee or agent or other Person making such a payment or distribution, directly to the holders of Senior Debt (or their representatives(s) or trustee(s) acting on their behalf), ratably according to the aggregate amounts remaining unpaid on account of the principal of or interest on and other amounts due on the Senior Debt held or represented by each, to the extent necessary to make payment in full of all Senior Debt remaining unpaid, after giving effect to any concurrent payment or distribution to the holders of such Senior Debt; and</w:t>
      </w:r>
    </w:p>
    <w:p>
      <w:pPr>
        <w:spacing w:after="0" w:line="363" w:lineRule="exact"/>
        <w:rPr>
          <w:rFonts w:ascii="Courier New" w:cs="Courier New" w:eastAsia="Courier New" w:hAnsi="Courier New"/>
          <w:sz w:val="15"/>
          <w:szCs w:val="15"/>
          <w:color w:val="auto"/>
        </w:rPr>
      </w:pPr>
    </w:p>
    <w:p>
      <w:pPr>
        <w:ind w:left="1660" w:right="2839" w:firstLine="826"/>
        <w:spacing w:after="0" w:line="251" w:lineRule="auto"/>
        <w:tabs>
          <w:tab w:leader="none" w:pos="286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notwithstanding the foregoing, any payment or distribution of assets of the Company of any kind or character, whether in cash, property or securities (other than securities of the Company as reorganized or readjusted, or securities of the Company or any other corporation provided for by a</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5"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41</w:t>
      </w:r>
    </w:p>
    <w:p>
      <w:pPr>
        <w:spacing w:after="0" w:line="185" w:lineRule="exact"/>
        <w:rPr>
          <w:sz w:val="20"/>
          <w:szCs w:val="20"/>
          <w:color w:val="auto"/>
        </w:rPr>
      </w:pPr>
    </w:p>
    <w:p>
      <w:pPr>
        <w:ind w:left="1380" w:right="2839"/>
        <w:spacing w:after="0" w:line="250" w:lineRule="auto"/>
        <w:rPr>
          <w:sz w:val="20"/>
          <w:szCs w:val="20"/>
          <w:color w:val="auto"/>
        </w:rPr>
      </w:pPr>
      <w:r>
        <w:rPr>
          <w:rFonts w:ascii="Courier New" w:cs="Courier New" w:eastAsia="Courier New" w:hAnsi="Courier New"/>
          <w:sz w:val="15"/>
          <w:szCs w:val="15"/>
          <w:color w:val="auto"/>
        </w:rPr>
        <w:t>plan of reorganization or readjustment the payment of which is subordinate, at least to the extent provided in this Article VI with respect to the Notes, to the payment in full without diminution or modification by such plan of Senior Debt), shall be received by the Trustee or the Holders before all Senior Debt is paid in full, such payment or distribution shall be held in trust for the benefit of, and be paid over to upon request by a holder of the Senior Debt, the holders of the Senior Debt remaining unpaid (or their representatives) or trustee(s) acting on their behalf, ratably as aforesaid, for application to the payment of such Senior Debt until all such Senior Debt shall have been paid in full, after giving effect to any concurrent payment or distribution to the holders of such Senior Debt. Subject to the payment in full of all Senior Debt, the Holders shall be subrogated to the rights of the holders of Senior Debt to receive payments or distributions of cash, property or securities of the Company applicable to the Senior Debt until the principal of and interest on the Notes shall be paid in full and, for purposes of such subrogation, no such payments or distributions to the holders of Senior Debt of cash, property or securities which otherwise would have been payable or distributable to Holders shall, as between the Company, its creditors other than the holders of Senior Debt, and the Holders, be deemed to be a payment by the Company to or on account of the Senior Debt, it being understood that the provisions of this Article VI are, and are intended solely for the purpose of, defining the relative rights of the Holders, on the one hand, and the holders of Senior Debt, on the other hand.</w:t>
      </w:r>
    </w:p>
    <w:p>
      <w:pPr>
        <w:spacing w:after="0" w:line="190"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Nothing contained in this Article VI or elsewhere in this Indenture or in the Notes is intended to or shall (i) impair, as between the Company and its creditors other than the holders of Senior Debt, the obligation of the Company, which is absolute and unconditional, to pay to the Holders the principal of and interest on the Notes as and when the same shall become due and payable in accordance with the terms of the Notes, or, (ii) affect the relative rights of the Holders and creditors of the Company other than holders of Senior Debt or, as between the Company and the Trustee, the obligations of the Company to the Trustee, or (iii) prevent the Trustee or the Holders from exercising all remedies otherwise permitted by applicable law upon default under this Indenture, subject to the rights, if any, under this Article VI of the holders of Senior Debt in respect of cash, property and securities of the Company received upon the exercise of any such remedy.</w:t>
      </w:r>
    </w:p>
    <w:p>
      <w:pPr>
        <w:spacing w:after="0" w:line="200" w:lineRule="exact"/>
        <w:rPr>
          <w:sz w:val="20"/>
          <w:szCs w:val="20"/>
          <w:color w:val="auto"/>
        </w:rPr>
      </w:pPr>
    </w:p>
    <w:p>
      <w:pPr>
        <w:spacing w:after="0" w:line="338" w:lineRule="exact"/>
        <w:rPr>
          <w:sz w:val="20"/>
          <w:szCs w:val="20"/>
          <w:color w:val="auto"/>
        </w:rPr>
      </w:pPr>
    </w:p>
    <w:p>
      <w:pPr>
        <w:ind w:left="540" w:right="2839" w:firstLine="830"/>
        <w:spacing w:after="0" w:line="250" w:lineRule="auto"/>
        <w:rPr>
          <w:sz w:val="20"/>
          <w:szCs w:val="20"/>
          <w:color w:val="auto"/>
        </w:rPr>
      </w:pPr>
      <w:r>
        <w:rPr>
          <w:rFonts w:ascii="Courier New" w:cs="Courier New" w:eastAsia="Courier New" w:hAnsi="Courier New"/>
          <w:sz w:val="15"/>
          <w:szCs w:val="15"/>
          <w:color w:val="auto"/>
        </w:rPr>
        <w:t>Upon distribution of assets of the Company referred to in this Article VI, the Trustee, subject to the provisions of Section 9.01 hereof, and the Holders shall be entitled to rely upon a certificate of the liquidating trustee or agent or other Person making any distribution to the Trustee or to the Holders for the purpose of ascertaining the Persons entitled to participate in such distribution, the holders of the Senior Debt and other indebtedness of the Company, the amount thereof or payable thereon, the amount or amounts paid or distributed thereon and all other facts pertinent thereto or to this Article VI. The Trustee, however, shall not be deemed to owe any fiduciary duty to the holders of Senior Debt. Nothing contained in this Article VI or elsewhere in this Indenture, or in any of the Notes, shall prevent the good faith application by the Trustee of any moneys which were deposited with it hereunder, prior to its receipt of written notice of facts which would prohibit such application, for the purpose of the payment of or on account of the principal of or interest on, the Notes unless, prior to the date on which such application is made by the Trustee, the Trustee shall be charged with notice under Section 6.03(d) hereof of the facts which would prohibit the making of such application.</w:t>
      </w:r>
    </w:p>
    <w:p>
      <w:pPr>
        <w:spacing w:after="0" w:line="200" w:lineRule="exact"/>
        <w:rPr>
          <w:sz w:val="20"/>
          <w:szCs w:val="20"/>
          <w:color w:val="auto"/>
        </w:rPr>
      </w:pPr>
    </w:p>
    <w:p>
      <w:pPr>
        <w:spacing w:after="0" w:line="34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939"/>
          </w:cols>
          <w:pgMar w:left="520" w:top="295"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42</w:t>
      </w:r>
    </w:p>
    <w:p>
      <w:pPr>
        <w:spacing w:after="0" w:line="185" w:lineRule="exact"/>
        <w:rPr>
          <w:sz w:val="20"/>
          <w:szCs w:val="20"/>
          <w:color w:val="auto"/>
        </w:rPr>
      </w:pPr>
    </w:p>
    <w:p>
      <w:pPr>
        <w:ind w:left="820" w:right="2839" w:firstLine="835"/>
        <w:spacing w:after="0" w:line="251" w:lineRule="auto"/>
        <w:tabs>
          <w:tab w:leader="none" w:pos="20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Article VI shall not be applicable to any cash, properties or securities received by the Trustee or by any Holder when received as a holder of Senior Debt and nothing in Section 9.11 hereof or elsewhere in this Indenture shall deprive the Trustee or such Holder of any of its rights as such holder.</w:t>
      </w:r>
    </w:p>
    <w:p>
      <w:pPr>
        <w:spacing w:after="0" w:line="176" w:lineRule="exact"/>
        <w:rPr>
          <w:rFonts w:ascii="Courier New" w:cs="Courier New" w:eastAsia="Courier New" w:hAnsi="Courier New"/>
          <w:sz w:val="15"/>
          <w:szCs w:val="15"/>
          <w:color w:val="auto"/>
        </w:rPr>
      </w:pPr>
    </w:p>
    <w:p>
      <w:pPr>
        <w:ind w:left="820" w:right="2839" w:firstLine="835"/>
        <w:spacing w:after="0" w:line="250" w:lineRule="auto"/>
        <w:tabs>
          <w:tab w:leader="none" w:pos="20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prompt written notice to the Trustee of any fact known to the Company which would prohibit the making of any payment of money to or by the Trustee in respect of the Notes pursuant to the provisions of this Article VI. The Trustee, subject to the provisions of Section 9.01 hereof, shall be entitled to assume that no such fact exists unless the Company or any holder of Senior Debt or any trustee therefor has given such notice to the Trustee. Notwithstanding the provisions of this Article VI or any other provisions of this Indenture, the Trustee shall not be charged with knowledge of the existence of any fact which would prohibit the making of any payment of monies to or by the Trustee in respect of the Notes pursuant to the provisions in this Article VI, unless, and until three Business Days after, the Trustee shall have received written notice thereof from the Company or any holder or holders of Senior Debt or from any trustee therefor; and, prior to the receipt of any such written notice, the Trustee, subject to the provisions of Section 9.01 hereof, shall be entitled in all respects conclusively to assume that no such facts exist; provided that if on a date not less than three Business Days immediately preceding the date upon which by the terms hereof any such monies may become payable for any purpose (including, without limitation, the principal of or interest on any Note), the Trustee shall not have received with respect to such monies the notice provided for in this Section 6.03(d), than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200" w:lineRule="exact"/>
        <w:rPr>
          <w:sz w:val="20"/>
          <w:szCs w:val="20"/>
          <w:color w:val="auto"/>
        </w:rPr>
      </w:pPr>
    </w:p>
    <w:p>
      <w:pPr>
        <w:spacing w:after="0" w:line="344"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The Trustee shall be entitled to rely on the delivery to it of a written notice by a Person representing himself to be a holder of Senior Debt (or a trustee on behalf of such holder) to establish that such notice has been given by a holder of Senior Debt (or a trustee on behalf of any such holder or holders). In the event that the Trustee determines in good faith that further evidence is required with respect to the right of any Person as a holder of Senior Debt to participate in any payment or distribution pursuant to this Article VI, the Trustee may request such Person to furnish evidence to the reasonable satisfaction of the Trustee as to the amount of Senior Debt held by such Person, the extent to which such Person is entitled to participate in such payment or distribution and any other facts pertinent to the rights of such Person under this Article VI, and, if such evidence is not furnished, the Trustee may defer any payment to such Person pending judicial determination as to the right of such Person to receive such payment; nor shall the Trustee be charged with knowledge of the curing or waiving of any default of the character specified in Section 6.02 hereof or that any event or any condition preventing any payment in respect of the Notes shall have ceased to exist, unless and until the Trustee shall have received an Officers' Certificate to such effect.</w:t>
      </w:r>
    </w:p>
    <w:p>
      <w:pPr>
        <w:spacing w:after="0" w:line="186" w:lineRule="exact"/>
        <w:rPr>
          <w:sz w:val="20"/>
          <w:szCs w:val="20"/>
          <w:color w:val="auto"/>
        </w:rPr>
      </w:pPr>
    </w:p>
    <w:p>
      <w:pPr>
        <w:ind w:left="820" w:right="3299" w:firstLine="835"/>
        <w:spacing w:after="0" w:line="253" w:lineRule="auto"/>
        <w:tabs>
          <w:tab w:leader="none" w:pos="20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6.03 applicable to the Trustee shall also apply to any Paying Agent for the Company.</w:t>
      </w:r>
    </w:p>
    <w:p>
      <w:pPr>
        <w:spacing w:after="0" w:line="174"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5"/>
          <w:szCs w:val="15"/>
          <w:color w:val="auto"/>
        </w:rPr>
        <w:t>RELIANCE BY SENIOR DEBT ON SUBORDINATION PROVISIONS.</w:t>
      </w: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5"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43</w:t>
      </w:r>
    </w:p>
    <w:p>
      <w:pPr>
        <w:spacing w:after="0" w:line="185"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Each Holder of any Note by his acceptance thereof acknowledges and agrees that the foregoing subordination provisions are, and are intended to be, an inducement and a consideration for each holder of any Senior Debt, whether such Senior Debt was created or acquired before or after the issuance of the Notes, to acquire and continue to hold, or to continue to hold, such Senior Debt, and such holder of Senior Debt shall be deemed conclusively to have relied on such subordination provisions in acquiring and continuing to hold, or in continuing to hold, such Senior Debt. Notice of any default in the payment of any Senior Debt, except as expressly stated in this Article VI, and notice of acceptance of the provisions hereof are hereby expressly waived. Except as otherwise expressly provided herein, no waiver, forbearance or release by any holder of Senior Debt under such Senior Debt or under this Article VI shall constitute a release of any of the obligations or liabilities of the Trustee or Holders of the Notes provided in this Article VI.</w:t>
      </w:r>
    </w:p>
    <w:p>
      <w:pPr>
        <w:spacing w:after="0" w:line="184"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5"/>
          <w:szCs w:val="15"/>
          <w:color w:val="auto"/>
        </w:rPr>
        <w:t>NO WAIVER OF SUBORDINATION PROVISIONS.</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Except as otherwise expressly provided herein, 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w:t>
      </w:r>
    </w:p>
    <w:p>
      <w:pPr>
        <w:spacing w:after="0" w:line="353"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Without in any way limiting the generality of the foregoing paragraph, the holders of Senior Debt may, at any time and from time to time, without the consent of, or notice to, the Trustee or the Holders of the Notes, without incurring responsibility to the Holders of the Notes and without impairing or releasing the subordination provided in this Article VI or the obligations hereunder of the Holders of the Notes to the holders of Senior Debt, do any one or more of the following: (i) change the manner, place or terms of payment of, or renew or alter, Senior Debt, or otherwise amend or supplement in any manner Senior Debt or any instrument evidencing the same or any agreement under which Senior Debt is outstanding; (ii) sell, exchange, release or otherwise dispose of any property pledged, mortgaged or otherwise securing Senior Debt; (iii) release any Person liable in any manner for the collection of Senior Debt; and (iv) exercise or refrain from exercising any rights against the Company or any other Person.</w:t>
      </w:r>
    </w:p>
    <w:p>
      <w:pPr>
        <w:spacing w:after="0" w:line="184"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5"/>
          <w:szCs w:val="15"/>
          <w:color w:val="auto"/>
        </w:rPr>
        <w:t>TRUSTEE'S RELATION TO SENIOR DEBT.</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The Trustee in its individual capacity shall be entitled to all the rights set forth in this Article VI in respect of any Senior Debt at any time held by it, to the same extent as any holder of Senior Debt, and nothing in Section 9.11 hereof or elsewhere in this Indenture shall deprive the Trustee of any of its rights as such holder.</w:t>
      </w:r>
    </w:p>
    <w:p>
      <w:pPr>
        <w:spacing w:after="0" w:line="354"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With respect to the holders of Senior Debt, the Trustee undertakes to perform or to observe only such of its covenants and obligation, as are specifically set forth in this Article VI, and no implied covenants or obligations with respect to the holders of Senior Debt shall be read into this Indenture against the Trustee. The Trustee shall not owe any fiduciary duty to the holders of Senior Debt but shall have only such obligations to such holders as are</w:t>
      </w:r>
    </w:p>
    <w:p>
      <w:pPr>
        <w:spacing w:after="0" w:line="200" w:lineRule="exact"/>
        <w:rPr>
          <w:sz w:val="20"/>
          <w:szCs w:val="20"/>
          <w:color w:val="auto"/>
        </w:rPr>
      </w:pPr>
    </w:p>
    <w:p>
      <w:pPr>
        <w:spacing w:after="0" w:line="33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5"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44</w:t>
      </w:r>
    </w:p>
    <w:p>
      <w:pPr>
        <w:spacing w:after="0" w:line="185" w:lineRule="exact"/>
        <w:rPr>
          <w:sz w:val="20"/>
          <w:szCs w:val="20"/>
          <w:color w:val="auto"/>
        </w:rPr>
      </w:pPr>
    </w:p>
    <w:p>
      <w:pPr>
        <w:ind w:left="820" w:right="3019"/>
        <w:spacing w:after="0" w:line="251" w:lineRule="auto"/>
        <w:rPr>
          <w:sz w:val="20"/>
          <w:szCs w:val="20"/>
          <w:color w:val="auto"/>
        </w:rPr>
      </w:pPr>
      <w:r>
        <w:rPr>
          <w:rFonts w:ascii="Courier New" w:cs="Courier New" w:eastAsia="Courier New" w:hAnsi="Courier New"/>
          <w:sz w:val="15"/>
          <w:szCs w:val="15"/>
          <w:color w:val="auto"/>
        </w:rPr>
        <w:t>expressly set forth in this Article VI; and in no event shall the Trustee be liable to any such holders if it shall in good faith mistakenly pay over or distribute to Holders of the Notes or to the Company (or any other Person) amounts to which such holders of Senior Debt would be entitled under this Article.</w:t>
      </w:r>
    </w:p>
    <w:p>
      <w:pPr>
        <w:spacing w:after="0" w:line="354"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Each Holder of a Note by his acceptance thereof authorizes and directs the Trustee on his behalf to take such action as may be necessary or appropriate to effectuate the subordination provided in this Article VI and appoints the Trustee his attorney-in-fact for any and all such purposes, including, in the event of any dissolution, winding up or liquidation or reorganization under any applicable bankruptcy law of the Company (whether in bankruptcy, insolvency or receivership proceedings or otherwise), the timely filing of a claim for the unpaid balance of such Holder's Notes in the form required in such proceedings and the causing of such claim to be approved. If the Trustee does not file a claim or proof of debt in the form required in such proceedings prior to 30 days before the expiration of the time to file such claims or proofs, then any Holder or holders of Senior Debt or their representative or representatives shall have the right to demand, sue for, collect, receive and receipt for the payments and distributions in respect of the Notes which are required to be paid or delivered to the holders of Senior Debt as provided in this Article VI and to file and prove all claims therefore and to take all such other action in the name of the holders or otherwise, as such holders of Senior Debt or representative thereof may determine to be necessary or appropriate for the enforcement of the provisions of this Article VI.</w:t>
      </w:r>
    </w:p>
    <w:p>
      <w:pPr>
        <w:spacing w:after="0" w:line="187"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5"/>
          <w:szCs w:val="15"/>
          <w:color w:val="auto"/>
        </w:rPr>
        <w:t>OTHER PROVISIONS SUBJECT HERETO.</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Except as expressly stated in this Article VI, notwithstanding anything contained in this Indenture to the contrary, all the provisions of this Indenture and the Notes are subject to the provisions of this Article VI. However, nothing in this Article VI shall apply to or adversely affect the claims of, or payment, to, the Trustee pursuant to Section 9.07 hereof. Notwithstanding the foregoing, the failure to make a payment on account of principal of or interest on the Notes by reason of any provision of this Article VI shall not be construed as preventing the occurrence of an Event of Default under Section 8.01 hereof.</w:t>
      </w:r>
    </w:p>
    <w:p>
      <w:pPr>
        <w:spacing w:after="0" w:line="352"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5"/>
          <w:szCs w:val="15"/>
          <w:color w:val="auto"/>
        </w:rPr>
        <w:t>ARTICLE VII</w:t>
      </w:r>
    </w:p>
    <w:p>
      <w:pPr>
        <w:spacing w:after="0" w:line="8"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5"/>
          <w:szCs w:val="15"/>
          <w:color w:val="auto"/>
        </w:rPr>
        <w:t>SUCCESSORS</w:t>
      </w:r>
    </w:p>
    <w:p>
      <w:pPr>
        <w:spacing w:after="0" w:line="18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5"/>
          <w:szCs w:val="15"/>
          <w:color w:val="auto"/>
        </w:rPr>
        <w:t>LIMITATION ON MERGER, SALE OR CONSOLIDATION.</w:t>
      </w:r>
    </w:p>
    <w:p>
      <w:pPr>
        <w:spacing w:after="0" w:line="362"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The Company may not, directly or indirectly, consolidate with or merge with or into, or sell, lease or otherwise dispose of all or substantially all of its assets, on a consolidated basis, whether in a single transaction or a series of related transactions, to another person or group of affiliated persons, other than to its Wholly-Owned Subsidiaries, unless:</w:t>
      </w:r>
    </w:p>
    <w:p>
      <w:pPr>
        <w:spacing w:after="0" w:line="176" w:lineRule="exact"/>
        <w:rPr>
          <w:sz w:val="20"/>
          <w:szCs w:val="20"/>
          <w:color w:val="auto"/>
        </w:rPr>
      </w:pPr>
    </w:p>
    <w:p>
      <w:pPr>
        <w:ind w:left="820" w:right="2939" w:firstLine="835"/>
        <w:spacing w:after="0" w:line="251" w:lineRule="auto"/>
        <w:tabs>
          <w:tab w:leader="none" w:pos="20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(i) in the case of a merger or consolidation, the Company is the surviving entity; or (ii) the resulting, surviving or transferee entity is a corporation organized under the laws of the United States, any state thereof or the District of Columbia and expressly assumes by supplemental indenture all of the Company's obligations in connection with the Notes and the Indenture; and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5"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45</w:t>
      </w:r>
    </w:p>
    <w:p>
      <w:pPr>
        <w:spacing w:after="0" w:line="185" w:lineRule="exact"/>
        <w:rPr>
          <w:sz w:val="20"/>
          <w:szCs w:val="20"/>
          <w:color w:val="auto"/>
        </w:rPr>
      </w:pPr>
    </w:p>
    <w:p>
      <w:pPr>
        <w:ind w:left="820" w:right="2839" w:firstLine="835"/>
        <w:spacing w:after="0" w:line="253" w:lineRule="auto"/>
        <w:tabs>
          <w:tab w:leader="none" w:pos="20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exist immediately before or after giving effect on a pro forma basis to such transaction.</w:t>
      </w:r>
    </w:p>
    <w:p>
      <w:pPr>
        <w:spacing w:after="0" w:line="35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Upon any permitted consolidation or merger or any permitted sale, lease or other disposition of all or substantially all of the assets of the Company in accordance with the foregoing, the successor corporation formed by such consolidation or into which the Company is merged or to which such sale, lease or other disposition is made, shall succeed to, and be substituted for, and may exercise every right and power of, the Company under the Indenture with the same effect as if such successor corporation had been named therein in the same manner as the Company is named, and when a successor corporation duly assumes all of the obligations of the Company pursuant hereto and pursuant to the Notes, the Company will be released from its obligations under the Indenture and the Notes, except as to any obligations that arise from or as a result of such transaction.</w:t>
      </w:r>
    </w:p>
    <w:p>
      <w:pPr>
        <w:spacing w:after="0" w:line="361"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For purposes of the foregoing, the transfer, by lease, assignment, sale or otherwise, of all or substantially all of the properties and assets of one or more Subsidiaries, which properties and assets, if held by the Company instead of such Subsidiary, would constitute all or substantially all of the Company's properties and assets, shall be deemed to be the transfer of all or substantially all of the Company's properties and assets. This Section 7.01 will not apply to a sale, assignment, transfer, conveyance or other disposition of assets between or among the Company and any of its Wholly-Owned Subsidiaries.</w:t>
      </w:r>
    </w:p>
    <w:p>
      <w:pPr>
        <w:spacing w:after="0" w:line="182"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7.02.</w:t>
      </w:r>
      <w:r>
        <w:rPr>
          <w:sz w:val="20"/>
          <w:szCs w:val="20"/>
          <w:color w:val="auto"/>
        </w:rPr>
        <w:tab/>
      </w:r>
      <w:r>
        <w:rPr>
          <w:rFonts w:ascii="Courier New" w:cs="Courier New" w:eastAsia="Courier New" w:hAnsi="Courier New"/>
          <w:sz w:val="15"/>
          <w:szCs w:val="15"/>
          <w:color w:val="auto"/>
        </w:rPr>
        <w:t>SUCCESSOR CORPORATION SUBSTITUTED.</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Upon any consolidation or merger, or any sale, assignment, transfer, lease, conveyance or other disposition of all or substantially all of the assets of the Company undertaken in accordance with Section 7.01 hereof, the successor corporation formed by such consolidation or into or with which the Company is merged or to which such sale, assignment, transfer, lease, conveyance or other disposition is made shall succeed to, and be substituted for and may exercise every right and power of, the Company under this Indenture with the same effect as if such successor Person has been named as the Company herein.</w:t>
      </w:r>
    </w:p>
    <w:p>
      <w:pPr>
        <w:spacing w:after="0" w:line="35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VIII</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DEFAULTS AND REMEDIES</w:t>
      </w:r>
    </w:p>
    <w:p>
      <w:pPr>
        <w:spacing w:after="0" w:line="18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5"/>
          <w:szCs w:val="15"/>
          <w:color w:val="auto"/>
        </w:rPr>
        <w:t>EVENTS OF DEFAULT.</w:t>
      </w:r>
    </w:p>
    <w:p>
      <w:pPr>
        <w:spacing w:after="0" w:line="36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An "EVENT OF DEFAULT" occurs if:</w:t>
      </w:r>
    </w:p>
    <w:p>
      <w:pPr>
        <w:spacing w:after="0" w:line="185" w:lineRule="exact"/>
        <w:rPr>
          <w:sz w:val="20"/>
          <w:szCs w:val="20"/>
          <w:color w:val="auto"/>
        </w:rPr>
      </w:pPr>
    </w:p>
    <w:p>
      <w:pPr>
        <w:ind w:left="820" w:right="3119" w:firstLine="835"/>
        <w:spacing w:after="0" w:line="252" w:lineRule="auto"/>
        <w:tabs>
          <w:tab w:leader="none" w:pos="20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payment of interest on any Note when the same becomes due and payable and the Default continues for a period of 30 days after the date due and payable;</w:t>
      </w:r>
    </w:p>
    <w:p>
      <w:pPr>
        <w:spacing w:after="0" w:line="174" w:lineRule="exact"/>
        <w:rPr>
          <w:rFonts w:ascii="Courier New" w:cs="Courier New" w:eastAsia="Courier New" w:hAnsi="Courier New"/>
          <w:sz w:val="15"/>
          <w:szCs w:val="15"/>
          <w:color w:val="auto"/>
        </w:rPr>
      </w:pPr>
    </w:p>
    <w:p>
      <w:pPr>
        <w:ind w:left="820" w:right="3119" w:firstLine="835"/>
        <w:spacing w:after="0" w:line="251" w:lineRule="auto"/>
        <w:tabs>
          <w:tab w:leader="none" w:pos="20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payment of the principal of any Note when the same becomes due and payable at maturity, upon optional redemption, in connection with a Purchase Offer, upon declaration or otherwise;</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5"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46</w:t>
      </w:r>
    </w:p>
    <w:p>
      <w:pPr>
        <w:spacing w:after="0" w:line="185" w:lineRule="exact"/>
        <w:rPr>
          <w:sz w:val="20"/>
          <w:szCs w:val="20"/>
          <w:color w:val="auto"/>
        </w:rPr>
      </w:pPr>
    </w:p>
    <w:p>
      <w:pPr>
        <w:ind w:left="540" w:right="2839" w:firstLine="835"/>
        <w:spacing w:after="0" w:line="251" w:lineRule="auto"/>
        <w:tabs>
          <w:tab w:leader="none" w:pos="17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to observe or perform for a period of 30 days after notice any covenant or agreement contained in Sections 4.07 and 7.01 hereof (other than, in the case of Section 4.07, a failure to purchase Notes in connection with a Purchase Offer) hereof;</w:t>
      </w:r>
    </w:p>
    <w:p>
      <w:pPr>
        <w:spacing w:after="0" w:line="176" w:lineRule="exact"/>
        <w:rPr>
          <w:rFonts w:ascii="Courier New" w:cs="Courier New" w:eastAsia="Courier New" w:hAnsi="Courier New"/>
          <w:sz w:val="15"/>
          <w:szCs w:val="15"/>
          <w:color w:val="auto"/>
        </w:rPr>
      </w:pPr>
    </w:p>
    <w:p>
      <w:pPr>
        <w:ind w:left="540" w:right="2839" w:firstLine="835"/>
        <w:spacing w:after="0" w:line="251" w:lineRule="auto"/>
        <w:tabs>
          <w:tab w:leader="none" w:pos="17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to observe or perform any other covenant or agreement contained in this Indenture or the Notes, required by it to be performed and the failure continues for a period of 60 days after notice from the Trustee to the Company or from the Holders of 25% in aggregate principal amount of the then outstanding Notes to the Company and the Trustee stating that such notice is a "Notice of Default";</w:t>
      </w:r>
    </w:p>
    <w:p>
      <w:pPr>
        <w:spacing w:after="0" w:line="175" w:lineRule="exact"/>
        <w:rPr>
          <w:rFonts w:ascii="Courier New" w:cs="Courier New" w:eastAsia="Courier New" w:hAnsi="Courier New"/>
          <w:sz w:val="15"/>
          <w:szCs w:val="15"/>
          <w:color w:val="auto"/>
        </w:rPr>
      </w:pPr>
    </w:p>
    <w:p>
      <w:pPr>
        <w:ind w:left="540" w:right="2939" w:firstLine="835"/>
        <w:spacing w:after="0" w:line="251" w:lineRule="auto"/>
        <w:tabs>
          <w:tab w:leader="none" w:pos="17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or any Significant Subsidiary to make any payment at final stated maturity, including any applicable grace period, in respect of its Indebtedness (other than non-recourse obligations) in an amount in excess of $15 million, and continuance of such failure for 30 days after written notice is given to the Company by the Trustee or to the Company and the Trustee by the Holders of at least 25% in aggregate principal amount of Notes outstanding.</w:t>
      </w:r>
    </w:p>
    <w:p>
      <w:pPr>
        <w:spacing w:after="0" w:line="175" w:lineRule="exact"/>
        <w:rPr>
          <w:rFonts w:ascii="Courier New" w:cs="Courier New" w:eastAsia="Courier New" w:hAnsi="Courier New"/>
          <w:sz w:val="15"/>
          <w:szCs w:val="15"/>
          <w:color w:val="auto"/>
        </w:rPr>
      </w:pPr>
    </w:p>
    <w:p>
      <w:pPr>
        <w:ind w:left="540" w:right="2839" w:firstLine="835"/>
        <w:spacing w:after="0" w:line="251" w:lineRule="auto"/>
        <w:tabs>
          <w:tab w:leader="none" w:pos="17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by the company or any Significant Subsidiary with respect to any of the Company's Indebtedness (other than non-recourse obligations), which default results in the acceleration of Indebtedness in an amount in excess of $15 million without such Indebtedness having been discharged or such acceleration having been rescinded or annulled for 30 days after written notice is given to the Company by the Trustee or to us and the Trustee by the Holders of at least 25% in aggregate principal amount or Notes outstanding.</w:t>
      </w:r>
    </w:p>
    <w:p>
      <w:pPr>
        <w:spacing w:after="0" w:line="175" w:lineRule="exact"/>
        <w:rPr>
          <w:rFonts w:ascii="Courier New" w:cs="Courier New" w:eastAsia="Courier New" w:hAnsi="Courier New"/>
          <w:sz w:val="15"/>
          <w:szCs w:val="15"/>
          <w:color w:val="auto"/>
        </w:rPr>
      </w:pPr>
    </w:p>
    <w:p>
      <w:pPr>
        <w:ind w:left="540" w:right="2839" w:firstLine="835"/>
        <w:spacing w:after="0" w:line="251" w:lineRule="auto"/>
        <w:tabs>
          <w:tab w:leader="none" w:pos="17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or any of its Subsidiaries that is a Significant Subsidiary or any group of two or more Subsidiaries that, taken as a whole, would constitute a Significant Subsidiary to pay final judgments for the payment of money (other than any judgment as to which a reputable insurance company has accepted liability subject to customary terms) aggregating in excess of $5.0 million, which judgments are not paid, discharged or stayed within 60 days after their entry;</w:t>
      </w:r>
    </w:p>
    <w:p>
      <w:pPr>
        <w:spacing w:after="0" w:line="175" w:lineRule="exact"/>
        <w:rPr>
          <w:rFonts w:ascii="Courier New" w:cs="Courier New" w:eastAsia="Courier New" w:hAnsi="Courier New"/>
          <w:sz w:val="15"/>
          <w:szCs w:val="15"/>
          <w:color w:val="auto"/>
        </w:rPr>
      </w:pPr>
    </w:p>
    <w:p>
      <w:pPr>
        <w:ind w:left="540" w:right="2839" w:firstLine="835"/>
        <w:spacing w:after="0" w:line="251" w:lineRule="auto"/>
        <w:tabs>
          <w:tab w:leader="none" w:pos="17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of its Subsidiaries that is a Significant Subsidiary or any group of two or more Subsidiaries that, taken as a whole, would constitute a Significant Subsidiary pursuant to or within the meaning of any Bankruptcy Law:</w:t>
      </w:r>
    </w:p>
    <w:p>
      <w:pPr>
        <w:spacing w:after="0" w:line="176" w:lineRule="exact"/>
        <w:rPr>
          <w:rFonts w:ascii="Courier New" w:cs="Courier New" w:eastAsia="Courier New" w:hAnsi="Courier New"/>
          <w:sz w:val="15"/>
          <w:szCs w:val="15"/>
          <w:color w:val="auto"/>
        </w:rPr>
      </w:pPr>
    </w:p>
    <w:p>
      <w:pPr>
        <w:ind w:left="2580" w:hanging="374"/>
        <w:spacing w:after="0"/>
        <w:tabs>
          <w:tab w:leader="none" w:pos="2580"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commences a voluntary case;</w:t>
      </w:r>
    </w:p>
    <w:p>
      <w:pPr>
        <w:spacing w:after="0" w:line="184" w:lineRule="exact"/>
        <w:rPr>
          <w:rFonts w:ascii="Courier New" w:cs="Courier New" w:eastAsia="Courier New" w:hAnsi="Courier New"/>
          <w:sz w:val="15"/>
          <w:szCs w:val="15"/>
          <w:color w:val="auto"/>
        </w:rPr>
      </w:pPr>
    </w:p>
    <w:p>
      <w:pPr>
        <w:ind w:left="1380" w:right="3019" w:firstLine="826"/>
        <w:spacing w:after="0" w:line="253" w:lineRule="auto"/>
        <w:tabs>
          <w:tab w:leader="none" w:pos="2672"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the entry of an order for relief against it in an involuntary case in which it is the debtor;</w:t>
      </w:r>
    </w:p>
    <w:p>
      <w:pPr>
        <w:spacing w:after="0" w:line="174" w:lineRule="exact"/>
        <w:rPr>
          <w:rFonts w:ascii="Courier New" w:cs="Courier New" w:eastAsia="Courier New" w:hAnsi="Courier New"/>
          <w:sz w:val="15"/>
          <w:szCs w:val="15"/>
          <w:color w:val="auto"/>
        </w:rPr>
      </w:pPr>
    </w:p>
    <w:p>
      <w:pPr>
        <w:ind w:left="1380" w:right="3019" w:firstLine="826"/>
        <w:spacing w:after="0" w:line="253" w:lineRule="auto"/>
        <w:tabs>
          <w:tab w:leader="none" w:pos="2764"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the appointment of a Custodian of it or for all or substantially all of its property;</w:t>
      </w:r>
    </w:p>
    <w:p>
      <w:pPr>
        <w:spacing w:after="0" w:line="174" w:lineRule="exact"/>
        <w:rPr>
          <w:rFonts w:ascii="Courier New" w:cs="Courier New" w:eastAsia="Courier New" w:hAnsi="Courier New"/>
          <w:sz w:val="15"/>
          <w:szCs w:val="15"/>
          <w:color w:val="auto"/>
        </w:rPr>
      </w:pPr>
    </w:p>
    <w:p>
      <w:pPr>
        <w:ind w:left="1380" w:right="3119" w:firstLine="826"/>
        <w:spacing w:after="0" w:line="253" w:lineRule="auto"/>
        <w:tabs>
          <w:tab w:leader="none" w:pos="2672"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a general assignment for the benefit of its creditors; or</w:t>
      </w:r>
    </w:p>
    <w:p>
      <w:pPr>
        <w:spacing w:after="0" w:line="174" w:lineRule="exact"/>
        <w:rPr>
          <w:rFonts w:ascii="Courier New" w:cs="Courier New" w:eastAsia="Courier New" w:hAnsi="Courier New"/>
          <w:sz w:val="15"/>
          <w:szCs w:val="15"/>
          <w:color w:val="auto"/>
        </w:rPr>
      </w:pPr>
    </w:p>
    <w:p>
      <w:pPr>
        <w:ind w:left="1380" w:right="2939" w:firstLine="826"/>
        <w:spacing w:after="0" w:line="253" w:lineRule="auto"/>
        <w:tabs>
          <w:tab w:leader="none" w:pos="2580"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is unable to pay its debts as the same become due; or</w:t>
      </w:r>
    </w:p>
    <w:p>
      <w:pPr>
        <w:spacing w:after="0" w:line="174" w:lineRule="exact"/>
        <w:rPr>
          <w:rFonts w:ascii="Courier New" w:cs="Courier New" w:eastAsia="Courier New" w:hAnsi="Courier New"/>
          <w:sz w:val="15"/>
          <w:szCs w:val="15"/>
          <w:color w:val="auto"/>
        </w:rPr>
      </w:pPr>
    </w:p>
    <w:p>
      <w:pPr>
        <w:ind w:left="-280" w:right="3019" w:firstLine="825"/>
        <w:spacing w:after="0" w:line="253" w:lineRule="auto"/>
        <w:tabs>
          <w:tab w:leader="none" w:pos="9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of competent jurisdiction enters an order or decree under any Bankruptcy Law that:</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939"/>
          </w:cols>
          <w:pgMar w:left="520" w:top="295"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47</w:t>
      </w:r>
    </w:p>
    <w:p>
      <w:pPr>
        <w:spacing w:after="0" w:line="185" w:lineRule="exact"/>
        <w:rPr>
          <w:sz w:val="20"/>
          <w:szCs w:val="20"/>
          <w:color w:val="auto"/>
        </w:rPr>
      </w:pPr>
    </w:p>
    <w:p>
      <w:pPr>
        <w:ind w:left="820" w:right="3119" w:firstLine="835"/>
        <w:spacing w:after="0" w:line="251" w:lineRule="auto"/>
        <w:tabs>
          <w:tab w:leader="none" w:pos="20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for relief against the Company or any of its Subsidiaries that is a Significant Subsidiary or any group of two or more Subsidiaries that, taken as a whole, would constitute a Significant Subsidiary in an involuntary case;</w:t>
      </w:r>
    </w:p>
    <w:p>
      <w:pPr>
        <w:spacing w:after="0" w:line="176" w:lineRule="exact"/>
        <w:rPr>
          <w:rFonts w:ascii="Courier New" w:cs="Courier New" w:eastAsia="Courier New" w:hAnsi="Courier New"/>
          <w:sz w:val="15"/>
          <w:szCs w:val="15"/>
          <w:color w:val="auto"/>
        </w:rPr>
      </w:pPr>
    </w:p>
    <w:p>
      <w:pPr>
        <w:ind w:left="820" w:right="2839" w:firstLine="835"/>
        <w:spacing w:after="0" w:line="251" w:lineRule="auto"/>
        <w:tabs>
          <w:tab w:leader="none" w:pos="211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appoints a Custodian of the Company or any of its Subsidiaries that is a Significant Subsidiary or any group of two or more Subsidiaries that, taken as a whole, would constitute a Significant Subsidiary or for all or substantially all of its property;</w:t>
      </w:r>
    </w:p>
    <w:p>
      <w:pPr>
        <w:spacing w:after="0" w:line="176" w:lineRule="exact"/>
        <w:rPr>
          <w:rFonts w:ascii="Courier New" w:cs="Courier New" w:eastAsia="Courier New" w:hAnsi="Courier New"/>
          <w:sz w:val="15"/>
          <w:szCs w:val="15"/>
          <w:color w:val="auto"/>
        </w:rPr>
      </w:pPr>
    </w:p>
    <w:p>
      <w:pPr>
        <w:ind w:left="820" w:right="2839" w:firstLine="835"/>
        <w:spacing w:after="0" w:line="251" w:lineRule="auto"/>
        <w:tabs>
          <w:tab w:leader="none" w:pos="220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orders the liquidation of the Company or any of its Subsidiaries that is a Significant Subsidiary or any group of two or more Subsidiaries that, taken as a whole, would constitute a Significant Subsidiary, and the order or decree remains unstayed and in effect for 60 days.</w:t>
      </w:r>
    </w:p>
    <w:p>
      <w:pPr>
        <w:spacing w:after="0" w:line="176"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The term "BANKRUPTCY LAW" means Title 11, U.S. Code or any similar Federal, state or foreign law for the relief of debtors or the protection of creditors. The term "CUSTODIAN" means any receiver, trustee, assignee, liquidator or similar official under any Bankruptcy Law.</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5"/>
          <w:szCs w:val="15"/>
          <w:color w:val="auto"/>
        </w:rPr>
        <w:t>ACCELERATION.</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If an Event of Default (other than an Event of Default specified in clauses (g) or (h) of Section 8.01 hereof) occurs and is continuing, the Trustee by notice to the Company, or the Holders of at least 25% in principal amount of the then outstanding Notes by notice to the Company and the Trustee, may declare all the Notes to be due and payable. Upon such declaration, the principal of, premium, if any, and interest on the Notes shall be due and payable immediately. If an Event of Default specified in clause (g) or (h) of Section 8.01 hereof occurs, such an amount shall ipso facto become and be immediately due and payable without any declaration or other act on the part of the Trustee or any Holder.</w:t>
      </w:r>
    </w:p>
    <w:p>
      <w:pPr>
        <w:spacing w:after="0" w:line="360"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If the Notes have been declared due and payable as a result of the acceleration of Indebtedness prior to its express maturity pursuant to Section 8.01(e)(ii), such declaration shall be automatically rescinded if the acceleration of such indebtedness has been rescinded or annulled within 30 days after such acceleration in accordance with the mortgage, indenture or instrument under which it was issued and if</w:t>
      </w:r>
    </w:p>
    <w:p>
      <w:pPr>
        <w:spacing w:after="0" w:line="3" w:lineRule="exact"/>
        <w:rPr>
          <w:sz w:val="20"/>
          <w:szCs w:val="20"/>
          <w:color w:val="auto"/>
        </w:rPr>
      </w:pPr>
    </w:p>
    <w:p>
      <w:pPr>
        <w:ind w:left="820" w:right="2839" w:firstLine="5"/>
        <w:spacing w:after="0" w:line="251" w:lineRule="auto"/>
        <w:tabs>
          <w:tab w:leader="none" w:pos="118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recission would not conflict with any judgment or decree of a court of competent jurisdiction and (ii) all existing Events of Default have been cured or waived except nonpayment of principal or interest on the Notes that has become due solely because of the acceleration of the Notes.</w:t>
      </w:r>
    </w:p>
    <w:p>
      <w:pPr>
        <w:spacing w:after="0" w:line="354"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Except as otherwise provided in the immediately preceding paragraph, the Holders of a majority in principal amount of the then outstanding Notes by notice to the Trustee may rescind an acceleration and its consequences (i) if the recission would not conflict with any judgment or decree of a court of competent jurisdiction and (ii) if all existing Events of Default have been cured or waived except nonpayment of principal or interest on the Notes that has become due solely because of the acceleration of the Notes.</w:t>
      </w:r>
    </w:p>
    <w:p>
      <w:pPr>
        <w:spacing w:after="0" w:line="17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8.03.</w:t>
      </w:r>
      <w:r>
        <w:rPr>
          <w:sz w:val="20"/>
          <w:szCs w:val="20"/>
          <w:color w:val="auto"/>
        </w:rPr>
        <w:tab/>
      </w:r>
      <w:r>
        <w:rPr>
          <w:rFonts w:ascii="Courier New" w:cs="Courier New" w:eastAsia="Courier New" w:hAnsi="Courier New"/>
          <w:sz w:val="15"/>
          <w:szCs w:val="15"/>
          <w:color w:val="auto"/>
        </w:rPr>
        <w:t>OTHER REMEDIES.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5"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48</w:t>
      </w:r>
    </w:p>
    <w:p>
      <w:pPr>
        <w:spacing w:after="0" w:line="185"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If an Event of Default occurs and is continuing, the Trustee may pursue any available remedy to collect the payment of principal or interest on the Notes or to enforce the performance of any provision of the Notes or this Indenture.</w:t>
      </w:r>
    </w:p>
    <w:p>
      <w:pPr>
        <w:spacing w:after="0" w:line="354"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8.04.</w:t>
      </w:r>
      <w:r>
        <w:rPr>
          <w:sz w:val="20"/>
          <w:szCs w:val="20"/>
          <w:color w:val="auto"/>
        </w:rPr>
        <w:tab/>
      </w:r>
      <w:r>
        <w:rPr>
          <w:rFonts w:ascii="Courier New" w:cs="Courier New" w:eastAsia="Courier New" w:hAnsi="Courier New"/>
          <w:sz w:val="15"/>
          <w:szCs w:val="15"/>
          <w:color w:val="auto"/>
        </w:rPr>
        <w:t>WAIVER OF PAST DEFAULTS.</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The Holders of a majority in principal amount of the then outstanding Notes by notice to the Trustee may on behalf of all of the Holders of the Notes waive an existing Default or Event of Default and its consequences except a continuing Default or Event of Default in the payment of the principal of or interest on any Note. When a Default or Event of Default is waived, it is cured and ceases; but no such waiver shall extend to any subsequent or other Default or impair any right consequent thereon.</w:t>
      </w:r>
    </w:p>
    <w:p>
      <w:pPr>
        <w:spacing w:after="0" w:line="17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8.05.</w:t>
      </w:r>
      <w:r>
        <w:rPr>
          <w:sz w:val="20"/>
          <w:szCs w:val="20"/>
          <w:color w:val="auto"/>
        </w:rPr>
        <w:tab/>
      </w:r>
      <w:r>
        <w:rPr>
          <w:rFonts w:ascii="Courier New" w:cs="Courier New" w:eastAsia="Courier New" w:hAnsi="Courier New"/>
          <w:sz w:val="15"/>
          <w:szCs w:val="15"/>
          <w:color w:val="auto"/>
        </w:rPr>
        <w:t>CONTROL BY MAJORITY.</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The Holders of a majority in principal amount of the then outstanding Notes may direct the time, method and place of conducting any proceeding for any remedy available to the Trustee or exercising any trust or power conferred on it. However, the Trustee may refuse to follow any direction that conflicts with law or this Indenture, is unduly prejudicial to the rights of other Holders, or would involve the Trustee in personal liability.</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8.06.</w:t>
      </w:r>
      <w:r>
        <w:rPr>
          <w:sz w:val="20"/>
          <w:szCs w:val="20"/>
          <w:color w:val="auto"/>
        </w:rPr>
        <w:tab/>
      </w:r>
      <w:r>
        <w:rPr>
          <w:rFonts w:ascii="Courier New" w:cs="Courier New" w:eastAsia="Courier New" w:hAnsi="Courier New"/>
          <w:sz w:val="15"/>
          <w:szCs w:val="15"/>
          <w:color w:val="auto"/>
        </w:rPr>
        <w:t>LIMITATION ON SUITS.</w:t>
      </w:r>
    </w:p>
    <w:p>
      <w:pPr>
        <w:spacing w:after="0" w:line="362" w:lineRule="exact"/>
        <w:rPr>
          <w:sz w:val="20"/>
          <w:szCs w:val="20"/>
          <w:color w:val="auto"/>
        </w:rPr>
      </w:pPr>
    </w:p>
    <w:p>
      <w:pPr>
        <w:ind w:left="820" w:right="2839" w:firstLine="830"/>
        <w:spacing w:after="0" w:line="253" w:lineRule="auto"/>
        <w:rPr>
          <w:sz w:val="20"/>
          <w:szCs w:val="20"/>
          <w:color w:val="auto"/>
        </w:rPr>
      </w:pPr>
      <w:r>
        <w:rPr>
          <w:rFonts w:ascii="Courier New" w:cs="Courier New" w:eastAsia="Courier New" w:hAnsi="Courier New"/>
          <w:sz w:val="15"/>
          <w:szCs w:val="15"/>
          <w:color w:val="auto"/>
        </w:rPr>
        <w:t>A Holder may pursue a remedy with respect to this Indenture or the Notes only if:</w:t>
      </w:r>
    </w:p>
    <w:p>
      <w:pPr>
        <w:spacing w:after="0" w:line="174" w:lineRule="exact"/>
        <w:rPr>
          <w:sz w:val="20"/>
          <w:szCs w:val="20"/>
          <w:color w:val="auto"/>
        </w:rPr>
      </w:pPr>
    </w:p>
    <w:p>
      <w:pPr>
        <w:ind w:left="820" w:right="3219" w:firstLine="835"/>
        <w:spacing w:after="0" w:line="253" w:lineRule="auto"/>
        <w:tabs>
          <w:tab w:leader="none" w:pos="20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gives to the Trustee notice of a continuing Event of Default;</w:t>
      </w:r>
    </w:p>
    <w:p>
      <w:pPr>
        <w:spacing w:after="0" w:line="174" w:lineRule="exact"/>
        <w:rPr>
          <w:rFonts w:ascii="Courier New" w:cs="Courier New" w:eastAsia="Courier New" w:hAnsi="Courier New"/>
          <w:sz w:val="15"/>
          <w:szCs w:val="15"/>
          <w:color w:val="auto"/>
        </w:rPr>
      </w:pPr>
    </w:p>
    <w:p>
      <w:pPr>
        <w:ind w:left="820" w:right="3219" w:firstLine="835"/>
        <w:spacing w:after="0" w:line="252" w:lineRule="auto"/>
        <w:tabs>
          <w:tab w:leader="none" w:pos="20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principal amount of the then outstanding Notes make a request to the Trustee to pursue the remedy;</w:t>
      </w:r>
    </w:p>
    <w:p>
      <w:pPr>
        <w:spacing w:after="0" w:line="174" w:lineRule="exact"/>
        <w:rPr>
          <w:rFonts w:ascii="Courier New" w:cs="Courier New" w:eastAsia="Courier New" w:hAnsi="Courier New"/>
          <w:sz w:val="15"/>
          <w:szCs w:val="15"/>
          <w:color w:val="auto"/>
        </w:rPr>
      </w:pPr>
    </w:p>
    <w:p>
      <w:pPr>
        <w:ind w:left="820" w:right="3219" w:firstLine="835"/>
        <w:spacing w:after="0" w:line="253" w:lineRule="auto"/>
        <w:tabs>
          <w:tab w:leader="none" w:pos="20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offer to the Trustee indemnity satisfactory to the Trustee against any loss, liability or expense;</w:t>
      </w:r>
    </w:p>
    <w:p>
      <w:pPr>
        <w:spacing w:after="0" w:line="174" w:lineRule="exact"/>
        <w:rPr>
          <w:rFonts w:ascii="Courier New" w:cs="Courier New" w:eastAsia="Courier New" w:hAnsi="Courier New"/>
          <w:sz w:val="15"/>
          <w:szCs w:val="15"/>
          <w:color w:val="auto"/>
        </w:rPr>
      </w:pPr>
    </w:p>
    <w:p>
      <w:pPr>
        <w:ind w:left="820" w:right="3219" w:firstLine="835"/>
        <w:spacing w:after="0" w:line="253" w:lineRule="auto"/>
        <w:tabs>
          <w:tab w:leader="none" w:pos="20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does not comply with the request within 60 days after receipt of the request and the offer of indemnity; and</w:t>
      </w:r>
    </w:p>
    <w:p>
      <w:pPr>
        <w:spacing w:after="0" w:line="174" w:lineRule="exact"/>
        <w:rPr>
          <w:rFonts w:ascii="Courier New" w:cs="Courier New" w:eastAsia="Courier New" w:hAnsi="Courier New"/>
          <w:sz w:val="15"/>
          <w:szCs w:val="15"/>
          <w:color w:val="auto"/>
        </w:rPr>
      </w:pPr>
    </w:p>
    <w:p>
      <w:pPr>
        <w:ind w:left="820" w:right="2939" w:firstLine="835"/>
        <w:spacing w:after="0" w:line="252" w:lineRule="auto"/>
        <w:tabs>
          <w:tab w:leader="none" w:pos="20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60-day period the Holders of a majority in principal amount of the then outstanding Notes do not give the Trustee a direction inconsistent with the request.</w:t>
      </w:r>
    </w:p>
    <w:p>
      <w:pPr>
        <w:spacing w:after="0" w:line="352" w:lineRule="exact"/>
        <w:rPr>
          <w:sz w:val="20"/>
          <w:szCs w:val="20"/>
          <w:color w:val="auto"/>
        </w:rPr>
      </w:pPr>
    </w:p>
    <w:p>
      <w:pPr>
        <w:ind w:left="820" w:right="2839" w:firstLine="830"/>
        <w:spacing w:after="0" w:line="252" w:lineRule="auto"/>
        <w:rPr>
          <w:sz w:val="20"/>
          <w:szCs w:val="20"/>
          <w:color w:val="auto"/>
        </w:rPr>
      </w:pPr>
      <w:r>
        <w:rPr>
          <w:rFonts w:ascii="Courier New" w:cs="Courier New" w:eastAsia="Courier New" w:hAnsi="Courier New"/>
          <w:sz w:val="15"/>
          <w:szCs w:val="15"/>
          <w:color w:val="auto"/>
        </w:rPr>
        <w:t>A Holder may not use this Indenture to prejudice the rights of another Holder or to obtain a preference or priority over another Holder.</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5"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49</w:t>
      </w:r>
    </w:p>
    <w:p>
      <w:pPr>
        <w:spacing w:after="0" w:line="18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8.07.</w:t>
      </w:r>
      <w:r>
        <w:rPr>
          <w:sz w:val="20"/>
          <w:szCs w:val="20"/>
          <w:color w:val="auto"/>
        </w:rPr>
        <w:tab/>
      </w:r>
      <w:r>
        <w:rPr>
          <w:rFonts w:ascii="Courier New" w:cs="Courier New" w:eastAsia="Courier New" w:hAnsi="Courier New"/>
          <w:sz w:val="15"/>
          <w:szCs w:val="15"/>
          <w:color w:val="auto"/>
        </w:rPr>
        <w:t>RIGHTS OF HOLDERS TO RECEIVE PAYMENT.</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Notwithstanding any other provision of this Indenture, the right of any Holder of a Note to receive payment of principal, and interest on the Note, on or after the respective due dates expressed in the Note, or to bring suit for the enforcement of any such payment on or after such respective dates, shall not be impaired or affected without the consent of the Holder.</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8.08.</w:t>
      </w:r>
      <w:r>
        <w:rPr>
          <w:sz w:val="20"/>
          <w:szCs w:val="20"/>
          <w:color w:val="auto"/>
        </w:rPr>
        <w:tab/>
      </w:r>
      <w:r>
        <w:rPr>
          <w:rFonts w:ascii="Courier New" w:cs="Courier New" w:eastAsia="Courier New" w:hAnsi="Courier New"/>
          <w:sz w:val="15"/>
          <w:szCs w:val="15"/>
          <w:color w:val="auto"/>
        </w:rPr>
        <w:t>COLLECTION SUIT BY TRUSTEE.</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If an Event of Default specified in Section 8.01(a) or (b), hereof occurs and is continuing, the Trustee may recover judgment in its own name and as trustee of an express trust against the Company for the whole amount of principal and interest remaining unpaid on the Notes and interest on overdue principal and interest and such further amount as shall be sufficient to cover the costs and, to the extent lawful, expenses of collection, including the reasonable compensation, expenses, disbursements and advances of the Trustee, its agents and counsel.</w:t>
      </w:r>
    </w:p>
    <w:p>
      <w:pPr>
        <w:spacing w:after="0" w:line="353"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8.09.</w:t>
      </w:r>
      <w:r>
        <w:rPr>
          <w:sz w:val="20"/>
          <w:szCs w:val="20"/>
          <w:color w:val="auto"/>
        </w:rPr>
        <w:tab/>
      </w:r>
      <w:r>
        <w:rPr>
          <w:rFonts w:ascii="Courier New" w:cs="Courier New" w:eastAsia="Courier New" w:hAnsi="Courier New"/>
          <w:sz w:val="15"/>
          <w:szCs w:val="15"/>
          <w:color w:val="auto"/>
        </w:rPr>
        <w:t>TRUSTEE MAY FILE PROOFS OF CLAIM.</w:t>
      </w:r>
    </w:p>
    <w:p>
      <w:pPr>
        <w:spacing w:after="0" w:line="362"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The Trustee may file such proofs of claim and other papers or documents as may be necessary or advisable in order to have the claims of the Trustee and the Holders allowed in any judicial proceedings relative to the Company, its creditors or its property. Nothing contained herein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7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8.10.</w:t>
      </w:r>
      <w:r>
        <w:rPr>
          <w:sz w:val="20"/>
          <w:szCs w:val="20"/>
          <w:color w:val="auto"/>
        </w:rPr>
        <w:tab/>
      </w:r>
      <w:r>
        <w:rPr>
          <w:rFonts w:ascii="Courier New" w:cs="Courier New" w:eastAsia="Courier New" w:hAnsi="Courier New"/>
          <w:sz w:val="15"/>
          <w:szCs w:val="15"/>
          <w:color w:val="auto"/>
        </w:rPr>
        <w:t>PRIORITIES.</w:t>
      </w:r>
    </w:p>
    <w:p>
      <w:pPr>
        <w:spacing w:after="0" w:line="362" w:lineRule="exact"/>
        <w:rPr>
          <w:sz w:val="20"/>
          <w:szCs w:val="20"/>
          <w:color w:val="auto"/>
        </w:rPr>
      </w:pPr>
    </w:p>
    <w:p>
      <w:pPr>
        <w:ind w:left="820" w:right="2839" w:firstLine="830"/>
        <w:spacing w:after="0" w:line="253" w:lineRule="auto"/>
        <w:rPr>
          <w:sz w:val="20"/>
          <w:szCs w:val="20"/>
          <w:color w:val="auto"/>
        </w:rPr>
      </w:pPr>
      <w:r>
        <w:rPr>
          <w:rFonts w:ascii="Courier New" w:cs="Courier New" w:eastAsia="Courier New" w:hAnsi="Courier New"/>
          <w:sz w:val="15"/>
          <w:szCs w:val="15"/>
          <w:color w:val="auto"/>
        </w:rPr>
        <w:t>If the Trustee collects any money pursuant to this Article, it shall pay out the money in the following order:</w:t>
      </w:r>
    </w:p>
    <w:p>
      <w:pPr>
        <w:spacing w:after="0" w:line="35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First: to the Trustee for amounts due under Section 9.07</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hereof;</w:t>
      </w:r>
    </w:p>
    <w:p>
      <w:pPr>
        <w:spacing w:after="0" w:line="362" w:lineRule="exact"/>
        <w:rPr>
          <w:sz w:val="20"/>
          <w:szCs w:val="20"/>
          <w:color w:val="auto"/>
        </w:rPr>
      </w:pPr>
    </w:p>
    <w:p>
      <w:pPr>
        <w:ind w:left="820" w:right="3119" w:firstLine="830"/>
        <w:spacing w:after="0" w:line="253" w:lineRule="auto"/>
        <w:rPr>
          <w:sz w:val="20"/>
          <w:szCs w:val="20"/>
          <w:color w:val="auto"/>
        </w:rPr>
      </w:pPr>
      <w:r>
        <w:rPr>
          <w:rFonts w:ascii="Courier New" w:cs="Courier New" w:eastAsia="Courier New" w:hAnsi="Courier New"/>
          <w:sz w:val="15"/>
          <w:szCs w:val="15"/>
          <w:color w:val="auto"/>
        </w:rPr>
        <w:t>Second: to the holders of Senior Debt, if and to the extent required by Article VI;</w:t>
      </w:r>
    </w:p>
    <w:p>
      <w:pPr>
        <w:spacing w:after="0" w:line="352"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Third: to Holders for amounts due and unpaid on the Notes for principal and interest (and Special Interest, if applicable), ratably, without preference or priority of any kind, according to the amounts due and payable on the Notes for principal and interest, respectively; and</w:t>
      </w:r>
    </w:p>
    <w:p>
      <w:pPr>
        <w:spacing w:after="0" w:line="354"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Fourth: to the Company.</w:t>
      </w:r>
    </w:p>
    <w:p>
      <w:pPr>
        <w:spacing w:after="0" w:line="362" w:lineRule="exact"/>
        <w:rPr>
          <w:sz w:val="20"/>
          <w:szCs w:val="20"/>
          <w:color w:val="auto"/>
        </w:rPr>
      </w:pPr>
    </w:p>
    <w:p>
      <w:pPr>
        <w:ind w:left="820" w:right="3219" w:firstLine="830"/>
        <w:spacing w:after="0" w:line="253" w:lineRule="auto"/>
        <w:rPr>
          <w:sz w:val="20"/>
          <w:szCs w:val="20"/>
          <w:color w:val="auto"/>
        </w:rPr>
      </w:pPr>
      <w:r>
        <w:rPr>
          <w:rFonts w:ascii="Courier New" w:cs="Courier New" w:eastAsia="Courier New" w:hAnsi="Courier New"/>
          <w:sz w:val="15"/>
          <w:szCs w:val="15"/>
          <w:color w:val="auto"/>
        </w:rPr>
        <w:t>The Trustee may fix a record date and payment date for any payment to Holders made pursuant to this Section 8.10.</w:t>
      </w:r>
    </w:p>
    <w:p>
      <w:pPr>
        <w:spacing w:after="0" w:line="174"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8.11.</w:t>
      </w:r>
      <w:r>
        <w:rPr>
          <w:sz w:val="20"/>
          <w:szCs w:val="20"/>
          <w:color w:val="auto"/>
        </w:rPr>
        <w:tab/>
      </w:r>
      <w:r>
        <w:rPr>
          <w:rFonts w:ascii="Courier New" w:cs="Courier New" w:eastAsia="Courier New" w:hAnsi="Courier New"/>
          <w:sz w:val="15"/>
          <w:szCs w:val="15"/>
          <w:color w:val="auto"/>
        </w:rPr>
        <w:t>UNDERTAKING FOR COSTS.</w:t>
      </w: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5"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50</w:t>
      </w:r>
    </w:p>
    <w:p>
      <w:pPr>
        <w:spacing w:after="0" w:line="185" w:lineRule="exact"/>
        <w:rPr>
          <w:sz w:val="20"/>
          <w:szCs w:val="20"/>
          <w:color w:val="auto"/>
        </w:rPr>
      </w:pPr>
    </w:p>
    <w:p>
      <w:pPr>
        <w:ind w:left="820" w:right="2939" w:firstLine="830"/>
        <w:spacing w:after="0" w:line="250" w:lineRule="auto"/>
        <w:rPr>
          <w:sz w:val="20"/>
          <w:szCs w:val="20"/>
          <w:color w:val="auto"/>
        </w:rPr>
      </w:pPr>
      <w:r>
        <w:rPr>
          <w:rFonts w:ascii="Courier New" w:cs="Courier New" w:eastAsia="Courier New" w:hAnsi="Courier New"/>
          <w:sz w:val="15"/>
          <w:szCs w:val="15"/>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8.11 does not apply to a suit by the Trustee, a suit by a Holder pursuant to Section 8.07 hereof, or a suit by Holders of more than 10% in principal amount of the then outstanding Notes.</w:t>
      </w:r>
    </w:p>
    <w:p>
      <w:pPr>
        <w:spacing w:after="0" w:line="18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IX</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TRUSTEE</w:t>
      </w:r>
    </w:p>
    <w:p>
      <w:pPr>
        <w:spacing w:after="0" w:line="18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9.01.</w:t>
      </w:r>
      <w:r>
        <w:rPr>
          <w:sz w:val="20"/>
          <w:szCs w:val="20"/>
          <w:color w:val="auto"/>
        </w:rPr>
        <w:tab/>
      </w:r>
      <w:r>
        <w:rPr>
          <w:rFonts w:ascii="Courier New" w:cs="Courier New" w:eastAsia="Courier New" w:hAnsi="Courier New"/>
          <w:sz w:val="15"/>
          <w:szCs w:val="15"/>
          <w:color w:val="auto"/>
        </w:rPr>
        <w:t>DUTIES OF TRUSTEE.</w:t>
      </w:r>
    </w:p>
    <w:p>
      <w:pPr>
        <w:spacing w:after="0" w:line="185" w:lineRule="exact"/>
        <w:rPr>
          <w:sz w:val="20"/>
          <w:szCs w:val="20"/>
          <w:color w:val="auto"/>
        </w:rPr>
      </w:pPr>
    </w:p>
    <w:p>
      <w:pPr>
        <w:ind w:left="820" w:right="2839" w:firstLine="835"/>
        <w:spacing w:after="0" w:line="251" w:lineRule="auto"/>
        <w:tabs>
          <w:tab w:leader="none" w:pos="20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Event of Default has occurred and is continuing,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176" w:lineRule="exact"/>
        <w:rPr>
          <w:rFonts w:ascii="Courier New" w:cs="Courier New" w:eastAsia="Courier New" w:hAnsi="Courier New"/>
          <w:sz w:val="15"/>
          <w:szCs w:val="15"/>
          <w:color w:val="auto"/>
        </w:rPr>
      </w:pPr>
    </w:p>
    <w:p>
      <w:pPr>
        <w:ind w:left="820" w:right="2839" w:firstLine="835"/>
        <w:spacing w:after="0" w:line="251" w:lineRule="auto"/>
        <w:tabs>
          <w:tab w:leader="none" w:pos="20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during the continuance of an Event of Default: (i) the Trustee need perform only those duties that are specifically set forth in this Indenture and no others and (ii) 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on their face to the requirements of this Indenture.</w:t>
      </w:r>
    </w:p>
    <w:p>
      <w:pPr>
        <w:spacing w:after="0" w:line="175" w:lineRule="exact"/>
        <w:rPr>
          <w:rFonts w:ascii="Courier New" w:cs="Courier New" w:eastAsia="Courier New" w:hAnsi="Courier New"/>
          <w:sz w:val="15"/>
          <w:szCs w:val="15"/>
          <w:color w:val="auto"/>
        </w:rPr>
      </w:pPr>
    </w:p>
    <w:p>
      <w:pPr>
        <w:ind w:left="820" w:right="2839" w:firstLine="835"/>
        <w:spacing w:after="0" w:line="251" w:lineRule="auto"/>
        <w:tabs>
          <w:tab w:leader="none" w:pos="20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not be relieved from liability for its own negligent action, its own negligent failure to act, or its own willful misconduct, except that: (i) this paragraph does not limit the effect of paragraph (b) of this Section 9.01; (ii) the Trustee shall not be liable for any error of judgment made in good faith by a Trust Officer, unless it is proved that the Trustee was negligent in ascertaining the pertinent facts and (iii) the Trustee shall not be liable with respect to any action it takes or omits to take in good faith in accordance with a direction received by it pursuant to Section 8.05 hereof.</w:t>
      </w:r>
    </w:p>
    <w:p>
      <w:pPr>
        <w:spacing w:after="0" w:line="175" w:lineRule="exact"/>
        <w:rPr>
          <w:rFonts w:ascii="Courier New" w:cs="Courier New" w:eastAsia="Courier New" w:hAnsi="Courier New"/>
          <w:sz w:val="15"/>
          <w:szCs w:val="15"/>
          <w:color w:val="auto"/>
        </w:rPr>
      </w:pPr>
    </w:p>
    <w:p>
      <w:pPr>
        <w:ind w:left="820" w:right="2939" w:firstLine="835"/>
        <w:spacing w:after="0" w:line="252" w:lineRule="auto"/>
        <w:tabs>
          <w:tab w:leader="none" w:pos="20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provision of this Indenture that in any way relates to the Trustee is subject to paragraphs (a), (b) and (c) of this Section 9.01.</w:t>
      </w:r>
    </w:p>
    <w:p>
      <w:pPr>
        <w:spacing w:after="0" w:line="174" w:lineRule="exact"/>
        <w:rPr>
          <w:rFonts w:ascii="Courier New" w:cs="Courier New" w:eastAsia="Courier New" w:hAnsi="Courier New"/>
          <w:sz w:val="15"/>
          <w:szCs w:val="15"/>
          <w:color w:val="auto"/>
        </w:rPr>
      </w:pPr>
    </w:p>
    <w:p>
      <w:pPr>
        <w:jc w:val="both"/>
        <w:ind w:left="820" w:right="2839" w:firstLine="835"/>
        <w:spacing w:after="0" w:line="251" w:lineRule="auto"/>
        <w:tabs>
          <w:tab w:leader="none" w:pos="20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refuse to perform any duty or exercise any right or power (including, without limitation, as requested or directed by a Holder) unless it receives indemnity satisfactory to it against any loss, liability or expense.</w:t>
      </w:r>
    </w:p>
    <w:p>
      <w:pPr>
        <w:spacing w:after="0" w:line="176" w:lineRule="exact"/>
        <w:rPr>
          <w:rFonts w:ascii="Courier New" w:cs="Courier New" w:eastAsia="Courier New" w:hAnsi="Courier New"/>
          <w:sz w:val="15"/>
          <w:szCs w:val="15"/>
          <w:color w:val="auto"/>
        </w:rPr>
      </w:pPr>
    </w:p>
    <w:p>
      <w:pPr>
        <w:ind w:left="820" w:right="2839" w:firstLine="835"/>
        <w:spacing w:after="0" w:line="251" w:lineRule="auto"/>
        <w:tabs>
          <w:tab w:leader="none" w:pos="20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9.02.</w:t>
      </w:r>
      <w:r>
        <w:rPr>
          <w:sz w:val="20"/>
          <w:szCs w:val="20"/>
          <w:color w:val="auto"/>
        </w:rPr>
        <w:tab/>
      </w:r>
      <w:r>
        <w:rPr>
          <w:rFonts w:ascii="Courier New" w:cs="Courier New" w:eastAsia="Courier New" w:hAnsi="Courier New"/>
          <w:sz w:val="15"/>
          <w:szCs w:val="15"/>
          <w:color w:val="auto"/>
        </w:rPr>
        <w:t>RIGHTS OF TRUSTEE.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5"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51</w:t>
      </w:r>
    </w:p>
    <w:p>
      <w:pPr>
        <w:spacing w:after="0" w:line="185" w:lineRule="exact"/>
        <w:rPr>
          <w:sz w:val="20"/>
          <w:szCs w:val="20"/>
          <w:color w:val="auto"/>
        </w:rPr>
      </w:pPr>
    </w:p>
    <w:p>
      <w:pPr>
        <w:jc w:val="both"/>
        <w:ind w:left="820" w:right="2839" w:firstLine="835"/>
        <w:spacing w:after="0" w:line="252" w:lineRule="auto"/>
        <w:tabs>
          <w:tab w:leader="none" w:pos="20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on any document believed by it to be genuine and to have been signed or presented by the proper Person. The Trustee need not investigate any fact or matter stated in the document.</w:t>
      </w:r>
    </w:p>
    <w:p>
      <w:pPr>
        <w:spacing w:after="0" w:line="174" w:lineRule="exact"/>
        <w:rPr>
          <w:rFonts w:ascii="Courier New" w:cs="Courier New" w:eastAsia="Courier New" w:hAnsi="Courier New"/>
          <w:sz w:val="15"/>
          <w:szCs w:val="15"/>
          <w:color w:val="auto"/>
        </w:rPr>
      </w:pPr>
    </w:p>
    <w:p>
      <w:pPr>
        <w:ind w:left="820" w:right="2839" w:firstLine="835"/>
        <w:spacing w:after="0" w:line="251" w:lineRule="auto"/>
        <w:tabs>
          <w:tab w:leader="none" w:pos="20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76" w:lineRule="exact"/>
        <w:rPr>
          <w:rFonts w:ascii="Courier New" w:cs="Courier New" w:eastAsia="Courier New" w:hAnsi="Courier New"/>
          <w:sz w:val="15"/>
          <w:szCs w:val="15"/>
          <w:color w:val="auto"/>
        </w:rPr>
      </w:pPr>
    </w:p>
    <w:p>
      <w:pPr>
        <w:ind w:left="820" w:right="3219" w:firstLine="835"/>
        <w:spacing w:after="0" w:line="252" w:lineRule="auto"/>
        <w:tabs>
          <w:tab w:leader="none" w:pos="20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act through agents and shall not be responsible for the misconduct or negligence of any agent appointed with due care.</w:t>
      </w:r>
    </w:p>
    <w:p>
      <w:pPr>
        <w:spacing w:after="0" w:line="174" w:lineRule="exact"/>
        <w:rPr>
          <w:rFonts w:ascii="Courier New" w:cs="Courier New" w:eastAsia="Courier New" w:hAnsi="Courier New"/>
          <w:sz w:val="15"/>
          <w:szCs w:val="15"/>
          <w:color w:val="auto"/>
        </w:rPr>
      </w:pPr>
    </w:p>
    <w:p>
      <w:pPr>
        <w:ind w:left="820" w:right="2839" w:firstLine="835"/>
        <w:spacing w:after="0" w:line="252" w:lineRule="auto"/>
        <w:tabs>
          <w:tab w:leader="none" w:pos="20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it takes or omits to take in good faith which it believes to be authorized or within its rights or powers.</w:t>
      </w:r>
    </w:p>
    <w:p>
      <w:pPr>
        <w:spacing w:after="0" w:line="174" w:lineRule="exact"/>
        <w:rPr>
          <w:rFonts w:ascii="Courier New" w:cs="Courier New" w:eastAsia="Courier New" w:hAnsi="Courier New"/>
          <w:sz w:val="15"/>
          <w:szCs w:val="15"/>
          <w:color w:val="auto"/>
        </w:rPr>
      </w:pPr>
    </w:p>
    <w:p>
      <w:pPr>
        <w:ind w:left="820" w:right="2839" w:firstLine="835"/>
        <w:spacing w:after="0" w:line="251" w:lineRule="auto"/>
        <w:tabs>
          <w:tab w:leader="none" w:pos="20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charged with knowledge of any Event of Default under subsections (c), through (i) (and subsection (a) or (b) if the Trustee does not act as Paying Agent) of Section 8.01 or of the identity of any Significant Subsidiary or of any group of two or more Subsidiaries that, taken as a whole, would constitute a Significant Subsidiary unless either (1) a Trust Officer of the Trustee assigned to its corporate trust department shall have actual knowledge thereof, or (2) the Trustee shall have received written notice thereof in accordance with Section 12.02 hereof from the Company or any Holder.</w:t>
      </w:r>
    </w:p>
    <w:p>
      <w:pPr>
        <w:spacing w:after="0" w:line="175" w:lineRule="exact"/>
        <w:rPr>
          <w:rFonts w:ascii="Courier New" w:cs="Courier New" w:eastAsia="Courier New" w:hAnsi="Courier New"/>
          <w:sz w:val="15"/>
          <w:szCs w:val="15"/>
          <w:color w:val="auto"/>
        </w:rPr>
      </w:pPr>
    </w:p>
    <w:p>
      <w:pPr>
        <w:ind w:left="820" w:right="3219" w:firstLine="835"/>
        <w:spacing w:after="0" w:line="253" w:lineRule="auto"/>
        <w:tabs>
          <w:tab w:leader="none" w:pos="20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 of any permissive rights, power or authority hereunder to the Trustee shall not be construed to be a duty.</w:t>
      </w:r>
    </w:p>
    <w:p>
      <w:pPr>
        <w:spacing w:after="0" w:line="174"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9.03.</w:t>
      </w:r>
      <w:r>
        <w:rPr>
          <w:sz w:val="20"/>
          <w:szCs w:val="20"/>
          <w:color w:val="auto"/>
        </w:rPr>
        <w:tab/>
      </w:r>
      <w:r>
        <w:rPr>
          <w:rFonts w:ascii="Courier New" w:cs="Courier New" w:eastAsia="Courier New" w:hAnsi="Courier New"/>
          <w:sz w:val="15"/>
          <w:szCs w:val="15"/>
          <w:color w:val="auto"/>
        </w:rPr>
        <w:t>INDIVIDUAL RIGHTS OF TRUSTEE.</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The Trustee in its individual or any other capacity may become the owner or pledgee of Notes and may otherwise deal with the Company or an Affiliate with the same rights it would have if it were not Trustee. Any Agent may do the same with like rights. However, the Trustee is subject to Sections 9.10 and 9.11 hereof.</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9.04.</w:t>
      </w:r>
      <w:r>
        <w:rPr>
          <w:sz w:val="20"/>
          <w:szCs w:val="20"/>
          <w:color w:val="auto"/>
        </w:rPr>
        <w:tab/>
      </w:r>
      <w:r>
        <w:rPr>
          <w:rFonts w:ascii="Courier New" w:cs="Courier New" w:eastAsia="Courier New" w:hAnsi="Courier New"/>
          <w:sz w:val="15"/>
          <w:szCs w:val="15"/>
          <w:color w:val="auto"/>
        </w:rPr>
        <w:t>TRUSTEE'S DISCLAIMER.</w:t>
      </w:r>
    </w:p>
    <w:p>
      <w:pPr>
        <w:spacing w:after="0" w:line="362"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The Trustee makes no representation as to the validity or adequacy of this Indenture or the Notes, it shall not be accountable for the Company's use of the proceeds from the Notes, and it shall not be responsible for any statement of the Company in the Indenture or any statement in the Notes other than its authentication or for compliance by the Company with the Registration Rights Agreement.</w:t>
      </w:r>
    </w:p>
    <w:p>
      <w:pPr>
        <w:spacing w:after="0" w:line="17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SECTION 9.05.</w:t>
      </w:r>
      <w:r>
        <w:rPr>
          <w:sz w:val="20"/>
          <w:szCs w:val="20"/>
          <w:color w:val="auto"/>
        </w:rPr>
        <w:tab/>
      </w:r>
      <w:r>
        <w:rPr>
          <w:rFonts w:ascii="Courier New" w:cs="Courier New" w:eastAsia="Courier New" w:hAnsi="Courier New"/>
          <w:sz w:val="15"/>
          <w:szCs w:val="15"/>
          <w:color w:val="auto"/>
        </w:rPr>
        <w:t>NOTICE OF DEFAULTS.</w:t>
      </w:r>
    </w:p>
    <w:p>
      <w:pPr>
        <w:spacing w:after="0" w:line="362"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If a Default or Event of Default occurs and is continuing and if it is known to the Trustee, the Trustee shall mail to Holders a notice of the Default or Event of Default within 90 days after it occurs. Except in the case of a Default or Event of Default in payment on any Note, the Trustee may withhold the notice if and so long as a committee of its Trust Officers in good faith determines that withholding the notice is in the interests of Holders.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5"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52</w:t>
      </w:r>
    </w:p>
    <w:p>
      <w:pPr>
        <w:spacing w:after="0" w:line="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SECTION 9.06.</w:t>
        <w:tab/>
        <w:t>REPORTS BY TRUSTEE TO HOLDERS.</w:t>
      </w:r>
    </w:p>
    <w:p>
      <w:pPr>
        <w:spacing w:after="0" w:line="185"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Within 60 days after the reporting date stated in Section 12.10, the Trustee shall mail to Holders a brief report dated as of such reporting date that complies with TIA Section 313(a) if and to the extent required by such Section 313(a). The Trustee also shall comply with TIA Section 313(b)(2). The Trustee shall also transmit by mail all reports as required by TIA Section 313(c).</w:t>
      </w:r>
    </w:p>
    <w:p>
      <w:pPr>
        <w:spacing w:after="0" w:line="176"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A copy of each report at the time of its mailing to Holders shall be filed with the SEC and each stock exchange on which the Notes are listed. The Company shall notify the Trustee when the Notes are listed on any stock exchange.</w:t>
      </w:r>
    </w:p>
    <w:p>
      <w:pPr>
        <w:spacing w:after="0" w:line="17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SECTION 9.07.</w:t>
        <w:tab/>
        <w:t>COMPENSATION AND INDEMNITY.</w:t>
      </w:r>
    </w:p>
    <w:p>
      <w:pPr>
        <w:spacing w:after="0" w:line="185"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The Company shall pay to the Trustee from time to time reasonable compensation for its services hereunder as to which the Company and the Trustee shall from time to time mutually agree in writing. The Trustee's compensation shall not be limited by any law on compensation of a trustee of an express trust. The Company shall reimburse the Trustee upon request for all reasonable disbursements, expenses and advances incurred or made by it. Such disbursements and expenses may include the reasonable disbursements, compensation and expenses of the Trustee's agents and counsel.</w:t>
      </w:r>
    </w:p>
    <w:p>
      <w:pPr>
        <w:spacing w:after="0" w:line="175"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The Company shall indemnify the Trustee against any claims, demands, expenses (including but not limited to reasonable compensation, fees, disbursements and expenses of the Trustee's agents and counsel), losses, damages or liabilities incurred by it, except as set forth in the next paragraph, arising out of, related to, or in connection with the acceptance or administration of this trust and its rights or duties hereunder, including the reasonable costs and expenses, and the costs and expenses of enforcing this Indenture (including this Section 9.07) against the Company and of defending itself against any claim (whether asserted by the Company, or any Holder or any other person) or liability in connection with the exercise or performance of any of its powers or duties hereunder. The Trustee shall notify the Company promptly of any claim for which it may seek indemnity. The Company shall defend the claim and the Trustee shall cooperate in the defense. The Trustee may have separate counsel and the Company shall pay the reasonable fees, disbursements and expenses of such counsel. The Company need not pay for any settlement made without its consent, which consent shall not be unreasonably withheld.</w:t>
      </w:r>
    </w:p>
    <w:p>
      <w:pPr>
        <w:spacing w:after="0" w:line="363" w:lineRule="exact"/>
        <w:rPr>
          <w:sz w:val="20"/>
          <w:szCs w:val="20"/>
          <w:color w:val="auto"/>
        </w:rPr>
      </w:pPr>
    </w:p>
    <w:p>
      <w:pPr>
        <w:jc w:val="both"/>
        <w:ind w:left="820" w:right="3399" w:firstLine="830"/>
        <w:spacing w:after="0" w:line="252" w:lineRule="auto"/>
        <w:rPr>
          <w:sz w:val="20"/>
          <w:szCs w:val="20"/>
          <w:color w:val="auto"/>
        </w:rPr>
      </w:pPr>
      <w:r>
        <w:rPr>
          <w:rFonts w:ascii="Courier New" w:cs="Courier New" w:eastAsia="Courier New" w:hAnsi="Courier New"/>
          <w:sz w:val="15"/>
          <w:szCs w:val="15"/>
          <w:color w:val="auto"/>
        </w:rPr>
        <w:t>The Company need not reimburse any expense or indemnify against any loss or liability incurred by the Trustee through the Trustee's negligence or bad faith.</w:t>
      </w:r>
    </w:p>
    <w:p>
      <w:pPr>
        <w:spacing w:after="0" w:line="175"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To secure the Company's payment obligations in this Section 9.07, the Trustee shall have a lien prior to the Notes on all money or property held or collected by the Trustee, except money or property held in trust to pay principal and interest on particular Notes.</w:t>
      </w:r>
    </w:p>
    <w:p>
      <w:pPr>
        <w:spacing w:after="0" w:line="176"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Without prejudice to any other rights available to the Trustee under applicable law, when the Trustee incurs expenses or renders services after an Event of Default specified in Section 8.01(h) or (i) hereof occurs, the expenses and the compensation for the services are intended to constitute expenses of administration under any Bankruptcy Law.</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5"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53</w:t>
      </w:r>
    </w:p>
    <w:p>
      <w:pPr>
        <w:spacing w:after="0" w:line="8" w:lineRule="exact"/>
        <w:rPr>
          <w:sz w:val="20"/>
          <w:szCs w:val="20"/>
          <w:color w:val="auto"/>
        </w:rPr>
      </w:pPr>
    </w:p>
    <w:p>
      <w:pPr>
        <w:ind w:left="820" w:right="2839" w:firstLine="830"/>
        <w:spacing w:after="0" w:line="253" w:lineRule="auto"/>
        <w:rPr>
          <w:sz w:val="20"/>
          <w:szCs w:val="20"/>
          <w:color w:val="auto"/>
        </w:rPr>
      </w:pPr>
      <w:r>
        <w:rPr>
          <w:rFonts w:ascii="Courier New" w:cs="Courier New" w:eastAsia="Courier New" w:hAnsi="Courier New"/>
          <w:sz w:val="15"/>
          <w:szCs w:val="15"/>
          <w:color w:val="auto"/>
        </w:rPr>
        <w:t>All amounts owing to the Trustee under this Section 9.07 shall be payable by the Company in United States dollars.</w:t>
      </w:r>
    </w:p>
    <w:p>
      <w:pPr>
        <w:spacing w:after="0" w:line="17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SECTION 9.08.</w:t>
        <w:tab/>
        <w:t>REPLACEMENT OF TRUSTEE.</w:t>
      </w:r>
    </w:p>
    <w:p>
      <w:pPr>
        <w:spacing w:after="0" w:line="185" w:lineRule="exact"/>
        <w:rPr>
          <w:sz w:val="20"/>
          <w:szCs w:val="20"/>
          <w:color w:val="auto"/>
        </w:rPr>
      </w:pPr>
    </w:p>
    <w:p>
      <w:pPr>
        <w:ind w:left="820" w:right="3019" w:firstLine="830"/>
        <w:spacing w:after="0" w:line="252" w:lineRule="auto"/>
        <w:rPr>
          <w:sz w:val="20"/>
          <w:szCs w:val="20"/>
          <w:color w:val="auto"/>
        </w:rPr>
      </w:pPr>
      <w:r>
        <w:rPr>
          <w:rFonts w:ascii="Courier New" w:cs="Courier New" w:eastAsia="Courier New" w:hAnsi="Courier New"/>
          <w:sz w:val="15"/>
          <w:szCs w:val="15"/>
          <w:color w:val="auto"/>
        </w:rPr>
        <w:t>A resignation or removal of the Trustee and appointment of a successor Trustee shall become effective only upon the successor Trustee's acceptance of appointment as provided in this Section 9.08.</w:t>
      </w:r>
    </w:p>
    <w:p>
      <w:pPr>
        <w:spacing w:after="0" w:line="175"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The Trustee may resign by so notifying the Company. The Holders of a majority in principal amount of the then outstanding Notes may remove the Trustee by so notifying the Trustee and the Company. The Company may remove the Trustee if:</w:t>
      </w:r>
    </w:p>
    <w:p>
      <w:pPr>
        <w:spacing w:after="0" w:line="176" w:lineRule="exact"/>
        <w:rPr>
          <w:sz w:val="20"/>
          <w:szCs w:val="20"/>
          <w:color w:val="auto"/>
        </w:rPr>
      </w:pPr>
    </w:p>
    <w:p>
      <w:pPr>
        <w:ind w:left="820" w:right="3299" w:firstLine="835"/>
        <w:spacing w:after="0" w:line="252" w:lineRule="auto"/>
        <w:tabs>
          <w:tab w:leader="none" w:pos="20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fails to comply with Section 9.10 hereof, unless the Trustee's duty to resign is stayed as provided in TIA Section 310(b);</w:t>
      </w:r>
    </w:p>
    <w:p>
      <w:pPr>
        <w:spacing w:after="0" w:line="174" w:lineRule="exact"/>
        <w:rPr>
          <w:rFonts w:ascii="Courier New" w:cs="Courier New" w:eastAsia="Courier New" w:hAnsi="Courier New"/>
          <w:sz w:val="15"/>
          <w:szCs w:val="15"/>
          <w:color w:val="auto"/>
        </w:rPr>
      </w:pPr>
    </w:p>
    <w:p>
      <w:pPr>
        <w:ind w:left="820" w:right="3019" w:firstLine="835"/>
        <w:spacing w:after="0" w:line="252" w:lineRule="auto"/>
        <w:tabs>
          <w:tab w:leader="none" w:pos="20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is adjudged a bankrupt or an insolvent or an order for relief is entered with respect to the Trustee under any Bankruptcy Law;</w:t>
      </w:r>
    </w:p>
    <w:p>
      <w:pPr>
        <w:spacing w:after="0" w:line="174" w:lineRule="exact"/>
        <w:rPr>
          <w:rFonts w:ascii="Courier New" w:cs="Courier New" w:eastAsia="Courier New" w:hAnsi="Courier New"/>
          <w:sz w:val="15"/>
          <w:szCs w:val="15"/>
          <w:color w:val="auto"/>
        </w:rPr>
      </w:pPr>
    </w:p>
    <w:p>
      <w:pPr>
        <w:ind w:left="820" w:right="2939" w:firstLine="835"/>
        <w:spacing w:after="0" w:line="253" w:lineRule="auto"/>
        <w:tabs>
          <w:tab w:leader="none" w:pos="20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Custodian or public officer takes charge of the Trustee or its property; or</w:t>
      </w:r>
    </w:p>
    <w:p>
      <w:pPr>
        <w:spacing w:after="0" w:line="174" w:lineRule="exact"/>
        <w:rPr>
          <w:rFonts w:ascii="Courier New" w:cs="Courier New" w:eastAsia="Courier New" w:hAnsi="Courier New"/>
          <w:sz w:val="15"/>
          <w:szCs w:val="15"/>
          <w:color w:val="auto"/>
        </w:rPr>
      </w:pPr>
    </w:p>
    <w:p>
      <w:pPr>
        <w:ind w:left="2020" w:hanging="365"/>
        <w:spacing w:after="0"/>
        <w:tabs>
          <w:tab w:leader="none" w:pos="20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becomes incapable of acting.</w:t>
      </w:r>
    </w:p>
    <w:p>
      <w:pPr>
        <w:spacing w:after="0" w:line="185"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Notes may appoint a successor Trustee to replace the successor Trustee appointed by the Company.</w:t>
      </w:r>
    </w:p>
    <w:p>
      <w:pPr>
        <w:spacing w:after="0" w:line="176"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If a successor Trustee does not take office within 60 days after the retiring Trustee resigns or is removed, the retiring Trustee, the Company or the Holders of at least 10% in principal amount of the then outstanding Notes may petition any court of competent jurisdiction for the appointment of a successor Trustee.</w:t>
      </w:r>
    </w:p>
    <w:p>
      <w:pPr>
        <w:spacing w:after="0" w:line="176" w:lineRule="exact"/>
        <w:rPr>
          <w:sz w:val="20"/>
          <w:szCs w:val="20"/>
          <w:color w:val="auto"/>
        </w:rPr>
      </w:pPr>
    </w:p>
    <w:p>
      <w:pPr>
        <w:ind w:left="820" w:right="3119" w:firstLine="830"/>
        <w:spacing w:after="0" w:line="251" w:lineRule="auto"/>
        <w:rPr>
          <w:sz w:val="20"/>
          <w:szCs w:val="20"/>
          <w:color w:val="auto"/>
        </w:rPr>
      </w:pPr>
      <w:r>
        <w:rPr>
          <w:rFonts w:ascii="Courier New" w:cs="Courier New" w:eastAsia="Courier New" w:hAnsi="Courier New"/>
          <w:sz w:val="15"/>
          <w:szCs w:val="15"/>
          <w:color w:val="auto"/>
        </w:rPr>
        <w:t>If the Trustee fails to comply with Section 9.10 hereof, unless the Trustee's duty to resign is stayed as provided in TIA Section 310(b), any Holder who has been a bona fide Holder of a Note for at least six months may petition any court of competent jurisdiction for the removal of the Trustee and the appointment of a successor Trustee.</w:t>
      </w:r>
    </w:p>
    <w:p>
      <w:pPr>
        <w:spacing w:after="0" w:line="176"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subject to the lien provided for in Section 9.07 hereof. Notwithstanding replacement of the Trustee pursuant to this Section</w:t>
      </w:r>
    </w:p>
    <w:p>
      <w:pPr>
        <w:spacing w:after="0" w:line="4" w:lineRule="exact"/>
        <w:rPr>
          <w:sz w:val="20"/>
          <w:szCs w:val="20"/>
          <w:color w:val="auto"/>
        </w:rPr>
      </w:pPr>
    </w:p>
    <w:p>
      <w:pPr>
        <w:ind w:left="820" w:right="2939"/>
        <w:spacing w:after="0" w:line="252" w:lineRule="auto"/>
        <w:rPr>
          <w:sz w:val="20"/>
          <w:szCs w:val="20"/>
          <w:color w:val="auto"/>
        </w:rPr>
      </w:pPr>
      <w:r>
        <w:rPr>
          <w:rFonts w:ascii="Courier New" w:cs="Courier New" w:eastAsia="Courier New" w:hAnsi="Courier New"/>
          <w:sz w:val="15"/>
          <w:szCs w:val="15"/>
          <w:color w:val="auto"/>
        </w:rPr>
        <w:t>9.08 hereof, the Company's obligations under Section 9.07 hereof shall continue for the benefit of the retiring trustee with respect to expenses and liabilities incurred by it prior to such replacement.</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5"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54</w:t>
      </w:r>
    </w:p>
    <w:p>
      <w:pPr>
        <w:spacing w:after="0" w:line="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SECTION 9.09.</w:t>
        <w:tab/>
        <w:t>SUCCESSOR TRUSTEE BY MERGER, ETC.</w:t>
      </w:r>
    </w:p>
    <w:p>
      <w:pPr>
        <w:spacing w:after="0" w:line="185"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If the Trustee consolidates, merges or converts into, or transfers all or substantially all of its corporate trust business (including the administration of this Indenture) to, another corporation, the successor corporation without any further act shall be the successor Trustee.</w:t>
      </w:r>
    </w:p>
    <w:p>
      <w:pPr>
        <w:spacing w:after="0" w:line="17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SECTION 9.10.</w:t>
        <w:tab/>
        <w:t>ELIGIBILITY; DISQUALIFICATION.</w:t>
      </w:r>
    </w:p>
    <w:p>
      <w:pPr>
        <w:spacing w:after="0" w:line="185"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This Indenture shall always have a Trustee who satisfies the requirements of TIA Section 310(a)(1) and (5). The Trustee shall always have a combined capital and surplus as stated in Section 12.10 hereof. The Trustee is subject to TIA Section 310(b).</w:t>
      </w:r>
    </w:p>
    <w:p>
      <w:pPr>
        <w:spacing w:after="0" w:line="17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SECTION 9.11.</w:t>
        <w:tab/>
        <w:t>PREFERENTIAL COLLECTION OF CLAIMS AGAINST COMPANY.</w:t>
      </w:r>
    </w:p>
    <w:p>
      <w:pPr>
        <w:spacing w:after="0" w:line="185"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The Trustee is subject to TIA Section 311(a), excluding any creditor relationship listed in TIA Section 311(b). A Trustee who has resigned or been removed shall be subject to TIA Section 311(a) to the extent indicated therein.</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X</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DISCHARGE OF INDENTURE</w:t>
      </w:r>
    </w:p>
    <w:p>
      <w:pPr>
        <w:spacing w:after="0" w:line="18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10.01.</w:t>
        <w:tab/>
        <w:t>TERMINATION OF COMPANY'S OBLIGATIONS.</w:t>
      </w:r>
    </w:p>
    <w:p>
      <w:pPr>
        <w:spacing w:after="0" w:line="185"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This Indenture shall cease to be of further effect (except that the Company's obligations under Sections 9.07 and 10.02 hereof shall survive) when all outstanding Notes theretofore authenticated and issued have been delivered to the Trustee for cancellation and the Company has paid all sums payable hereunder.</w:t>
      </w:r>
    </w:p>
    <w:p>
      <w:pPr>
        <w:spacing w:after="0" w:line="17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10.02.</w:t>
        <w:tab/>
        <w:t>REPAYMENT TO COMPANY.</w:t>
      </w:r>
    </w:p>
    <w:p>
      <w:pPr>
        <w:spacing w:after="0" w:line="185" w:lineRule="exact"/>
        <w:rPr>
          <w:sz w:val="20"/>
          <w:szCs w:val="20"/>
          <w:color w:val="auto"/>
        </w:rPr>
      </w:pPr>
    </w:p>
    <w:p>
      <w:pPr>
        <w:ind w:left="820" w:right="2839" w:firstLine="830"/>
        <w:spacing w:after="0" w:line="252" w:lineRule="auto"/>
        <w:rPr>
          <w:sz w:val="20"/>
          <w:szCs w:val="20"/>
          <w:color w:val="auto"/>
        </w:rPr>
      </w:pPr>
      <w:r>
        <w:rPr>
          <w:rFonts w:ascii="Courier New" w:cs="Courier New" w:eastAsia="Courier New" w:hAnsi="Courier New"/>
          <w:sz w:val="15"/>
          <w:szCs w:val="15"/>
          <w:color w:val="auto"/>
        </w:rPr>
        <w:t>The Trustee and the Paying Agent shall promptly pay to the Company upon request any excess money or securities held by them at any time.</w:t>
      </w:r>
    </w:p>
    <w:p>
      <w:pPr>
        <w:spacing w:after="0" w:line="175"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The Trustee and the Paying Agent shall pay to the Company upon request any money held by them for the payment of principal or interest that remains unclaimed for two years after the date upon which such payment shall have become due (subject to the requirements of any abandoned property laws that may be applicable); provided, however, that the Company shall have first caused notice of such payment to the Company to be mailed to each Holder entitled thereto no less than 30 days prior to such payment. After payment to the Company, the Trustee and the Paying Agent shall have no further liability with respect to such money and Holders entitled to the money must look to the Company for payment as general creditors unless any applicable abandoned property law designates another Person.</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XI</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AMENDMENTS, SUPPLEMENTS AND WAIVERS</w:t>
      </w:r>
    </w:p>
    <w:p>
      <w:pPr>
        <w:spacing w:after="0" w:line="18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11.01.</w:t>
        <w:tab/>
        <w:t>WITHOUT CONSENT OF HOLDERS.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95"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55</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The Company and the Trustee may amend or supplement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 or the Notes without the consent of any Holder:</w:t>
      </w:r>
    </w:p>
    <w:p>
      <w:pPr>
        <w:spacing w:after="0" w:line="185" w:lineRule="exact"/>
        <w:rPr>
          <w:sz w:val="20"/>
          <w:szCs w:val="20"/>
          <w:color w:val="auto"/>
        </w:rPr>
      </w:pPr>
    </w:p>
    <w:p>
      <w:pPr>
        <w:ind w:left="2020" w:hanging="365"/>
        <w:spacing w:after="0"/>
        <w:tabs>
          <w:tab w:leader="none" w:pos="20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defect or inconsistency;</w:t>
      </w:r>
    </w:p>
    <w:p>
      <w:pPr>
        <w:spacing w:after="0" w:line="184" w:lineRule="exact"/>
        <w:rPr>
          <w:rFonts w:ascii="Courier New" w:cs="Courier New" w:eastAsia="Courier New" w:hAnsi="Courier New"/>
          <w:sz w:val="15"/>
          <w:szCs w:val="15"/>
          <w:color w:val="auto"/>
        </w:rPr>
      </w:pPr>
    </w:p>
    <w:p>
      <w:pPr>
        <w:ind w:left="2020" w:hanging="365"/>
        <w:spacing w:after="0"/>
        <w:tabs>
          <w:tab w:leader="none" w:pos="20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Sections 5.12 and 7.01 hereof;</w:t>
      </w:r>
    </w:p>
    <w:p>
      <w:pPr>
        <w:spacing w:after="0" w:line="184" w:lineRule="exact"/>
        <w:rPr>
          <w:rFonts w:ascii="Courier New" w:cs="Courier New" w:eastAsia="Courier New" w:hAnsi="Courier New"/>
          <w:sz w:val="15"/>
          <w:szCs w:val="15"/>
          <w:color w:val="auto"/>
        </w:rPr>
      </w:pPr>
    </w:p>
    <w:p>
      <w:pPr>
        <w:ind w:left="820" w:right="3019" w:firstLine="835"/>
        <w:spacing w:after="0" w:line="253" w:lineRule="auto"/>
        <w:tabs>
          <w:tab w:leader="none" w:pos="20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uncertificated Notes in addition to or in place of certificated Notes;</w:t>
      </w:r>
    </w:p>
    <w:p>
      <w:pPr>
        <w:spacing w:after="0" w:line="174" w:lineRule="exact"/>
        <w:rPr>
          <w:rFonts w:ascii="Courier New" w:cs="Courier New" w:eastAsia="Courier New" w:hAnsi="Courier New"/>
          <w:sz w:val="15"/>
          <w:szCs w:val="15"/>
          <w:color w:val="auto"/>
        </w:rPr>
      </w:pPr>
    </w:p>
    <w:p>
      <w:pPr>
        <w:ind w:left="820" w:right="3299" w:firstLine="835"/>
        <w:spacing w:after="0" w:line="253" w:lineRule="auto"/>
        <w:tabs>
          <w:tab w:leader="none" w:pos="20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 that provides additional rights or benefits to the Holders of the Notes;</w:t>
      </w:r>
    </w:p>
    <w:p>
      <w:pPr>
        <w:spacing w:after="0" w:line="174" w:lineRule="exact"/>
        <w:rPr>
          <w:rFonts w:ascii="Courier New" w:cs="Courier New" w:eastAsia="Courier New" w:hAnsi="Courier New"/>
          <w:sz w:val="15"/>
          <w:szCs w:val="15"/>
          <w:color w:val="auto"/>
        </w:rPr>
      </w:pPr>
    </w:p>
    <w:p>
      <w:pPr>
        <w:ind w:left="820" w:right="3299" w:firstLine="835"/>
        <w:spacing w:after="0" w:line="253" w:lineRule="auto"/>
        <w:tabs>
          <w:tab w:leader="none" w:pos="20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 that does not adversely affect the interests hereunder of any Holder; or</w:t>
      </w:r>
    </w:p>
    <w:p>
      <w:pPr>
        <w:spacing w:after="0" w:line="174" w:lineRule="exact"/>
        <w:rPr>
          <w:rFonts w:ascii="Courier New" w:cs="Courier New" w:eastAsia="Courier New" w:hAnsi="Courier New"/>
          <w:sz w:val="15"/>
          <w:szCs w:val="15"/>
          <w:color w:val="auto"/>
        </w:rPr>
      </w:pPr>
    </w:p>
    <w:p>
      <w:pPr>
        <w:jc w:val="both"/>
        <w:ind w:left="820" w:right="3019" w:firstLine="835"/>
        <w:spacing w:after="0" w:line="252" w:lineRule="auto"/>
        <w:tabs>
          <w:tab w:leader="none" w:pos="20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qualify the Indenture under the TIA or to comply with the requirements of the SEC in order to maintain the qualification of the Indenture under the TIA.</w:t>
      </w:r>
    </w:p>
    <w:p>
      <w:pPr>
        <w:spacing w:after="0" w:line="17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11.02.</w:t>
        <w:tab/>
        <w:t>WITH CONSENT OF HOLDERS.</w:t>
      </w:r>
    </w:p>
    <w:p>
      <w:pPr>
        <w:spacing w:after="0" w:line="185" w:lineRule="exact"/>
        <w:rPr>
          <w:sz w:val="20"/>
          <w:szCs w:val="20"/>
          <w:color w:val="auto"/>
        </w:rPr>
      </w:pPr>
    </w:p>
    <w:p>
      <w:pPr>
        <w:ind w:left="820" w:right="3019" w:firstLine="830"/>
        <w:spacing w:after="0" w:line="251" w:lineRule="auto"/>
        <w:rPr>
          <w:sz w:val="20"/>
          <w:szCs w:val="20"/>
          <w:color w:val="auto"/>
        </w:rPr>
      </w:pPr>
      <w:r>
        <w:rPr>
          <w:rFonts w:ascii="Courier New" w:cs="Courier New" w:eastAsia="Courier New" w:hAnsi="Courier New"/>
          <w:sz w:val="15"/>
          <w:szCs w:val="15"/>
          <w:color w:val="auto"/>
        </w:rPr>
        <w:t>Subject to Section 8.07 hereof, the Company and the Trustee may amend or supplement this Indenture or the Notes with the written consent of the Holders of at least a majority in principal amount of the then outstanding Notes. Subject to Sections 8.04 and 8.07 hereof, the Holders of a majority in principal amount of the Notes then outstanding may also waive compliance in a particular instance by the Company with any provision of this Indenture or the Notes. However, without the consent of each Holder affected, an amendment, supplement or waiver under this Section 11.02 may not:</w:t>
      </w:r>
    </w:p>
    <w:p>
      <w:pPr>
        <w:spacing w:after="0" w:line="175" w:lineRule="exact"/>
        <w:rPr>
          <w:sz w:val="20"/>
          <w:szCs w:val="20"/>
          <w:color w:val="auto"/>
        </w:rPr>
      </w:pPr>
    </w:p>
    <w:p>
      <w:pPr>
        <w:ind w:left="820" w:right="3119" w:firstLine="835"/>
        <w:spacing w:after="0" w:line="253" w:lineRule="auto"/>
        <w:tabs>
          <w:tab w:leader="none" w:pos="20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Notes whose Holders must consent to an amendment, supplement or waiver;</w:t>
      </w:r>
    </w:p>
    <w:p>
      <w:pPr>
        <w:spacing w:after="0" w:line="174" w:lineRule="exact"/>
        <w:rPr>
          <w:rFonts w:ascii="Courier New" w:cs="Courier New" w:eastAsia="Courier New" w:hAnsi="Courier New"/>
          <w:sz w:val="15"/>
          <w:szCs w:val="15"/>
          <w:color w:val="auto"/>
        </w:rPr>
      </w:pPr>
    </w:p>
    <w:p>
      <w:pPr>
        <w:ind w:left="820" w:right="2939" w:firstLine="835"/>
        <w:spacing w:after="0" w:line="252" w:lineRule="auto"/>
        <w:tabs>
          <w:tab w:leader="none" w:pos="20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or change the fixed maturity of any Note or alter the provisions of Section 7 of the Notes in a manner adverse to the Holders;</w:t>
      </w:r>
    </w:p>
    <w:p>
      <w:pPr>
        <w:spacing w:after="0" w:line="174" w:lineRule="exact"/>
        <w:rPr>
          <w:rFonts w:ascii="Courier New" w:cs="Courier New" w:eastAsia="Courier New" w:hAnsi="Courier New"/>
          <w:sz w:val="15"/>
          <w:szCs w:val="15"/>
          <w:color w:val="auto"/>
        </w:rPr>
      </w:pPr>
    </w:p>
    <w:p>
      <w:pPr>
        <w:ind w:left="820" w:right="3399" w:firstLine="835"/>
        <w:spacing w:after="0" w:line="253" w:lineRule="auto"/>
        <w:tabs>
          <w:tab w:leader="none" w:pos="20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rate of or change the time for payment or accrual of interest on any Note;</w:t>
      </w:r>
    </w:p>
    <w:p>
      <w:pPr>
        <w:spacing w:after="0" w:line="174" w:lineRule="exact"/>
        <w:rPr>
          <w:rFonts w:ascii="Courier New" w:cs="Courier New" w:eastAsia="Courier New" w:hAnsi="Courier New"/>
          <w:sz w:val="15"/>
          <w:szCs w:val="15"/>
          <w:color w:val="auto"/>
        </w:rPr>
      </w:pPr>
    </w:p>
    <w:p>
      <w:pPr>
        <w:ind w:left="820" w:right="2839" w:firstLine="835"/>
        <w:spacing w:after="0" w:line="251" w:lineRule="auto"/>
        <w:tabs>
          <w:tab w:leader="none" w:pos="20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continuing default or Event of Default in the payment of the principal of or interest on any Note, except a rescission of acceleration of the Notes by the Holders of at least a majority in aggregate principal amount of the Notes and a waiver of the payment default that resulted from such acceleration;</w:t>
      </w:r>
    </w:p>
    <w:p>
      <w:pPr>
        <w:spacing w:after="0" w:line="176" w:lineRule="exact"/>
        <w:rPr>
          <w:rFonts w:ascii="Courier New" w:cs="Courier New" w:eastAsia="Courier New" w:hAnsi="Courier New"/>
          <w:sz w:val="15"/>
          <w:szCs w:val="15"/>
          <w:color w:val="auto"/>
        </w:rPr>
      </w:pPr>
    </w:p>
    <w:p>
      <w:pPr>
        <w:ind w:left="2020" w:hanging="365"/>
        <w:spacing w:after="0"/>
        <w:tabs>
          <w:tab w:leader="none" w:pos="20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Note payable in money other than that stated in</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Note;</w:t>
      </w:r>
    </w:p>
    <w:p>
      <w:pPr>
        <w:spacing w:after="0" w:line="184" w:lineRule="exact"/>
        <w:rPr>
          <w:rFonts w:ascii="Courier New" w:cs="Courier New" w:eastAsia="Courier New" w:hAnsi="Courier New"/>
          <w:sz w:val="15"/>
          <w:szCs w:val="15"/>
          <w:color w:val="auto"/>
        </w:rPr>
      </w:pPr>
    </w:p>
    <w:p>
      <w:pPr>
        <w:ind w:left="2020" w:hanging="365"/>
        <w:spacing w:after="0"/>
        <w:tabs>
          <w:tab w:leader="none" w:pos="20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Section 8.04 or 8.07 hereof;</w:t>
      </w:r>
    </w:p>
    <w:p>
      <w:pPr>
        <w:spacing w:after="0" w:line="184" w:lineRule="exact"/>
        <w:rPr>
          <w:rFonts w:ascii="Courier New" w:cs="Courier New" w:eastAsia="Courier New" w:hAnsi="Courier New"/>
          <w:sz w:val="15"/>
          <w:szCs w:val="15"/>
          <w:color w:val="auto"/>
        </w:rPr>
      </w:pPr>
    </w:p>
    <w:p>
      <w:pPr>
        <w:ind w:left="2020" w:hanging="365"/>
        <w:spacing w:after="0"/>
        <w:tabs>
          <w:tab w:leader="none" w:pos="20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redemption payment with respect to any Note;</w:t>
      </w:r>
    </w:p>
    <w:p>
      <w:pPr>
        <w:spacing w:after="0" w:line="184" w:lineRule="exact"/>
        <w:rPr>
          <w:rFonts w:ascii="Courier New" w:cs="Courier New" w:eastAsia="Courier New" w:hAnsi="Courier New"/>
          <w:sz w:val="15"/>
          <w:szCs w:val="15"/>
          <w:color w:val="auto"/>
        </w:rPr>
      </w:pPr>
    </w:p>
    <w:p>
      <w:pPr>
        <w:ind w:left="3600" w:right="3019" w:hanging="1945"/>
        <w:spacing w:after="0" w:line="504" w:lineRule="auto"/>
        <w:tabs>
          <w:tab w:leader="none" w:pos="203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convert the Notes into Common Stock; 51</w:t>
      </w:r>
    </w:p>
    <w:p>
      <w:pPr>
        <w:sectPr>
          <w:pgSz w:w="11900" w:h="16838" w:orient="portrait"/>
          <w:cols w:equalWidth="0" w:num="1">
            <w:col w:w="10219"/>
          </w:cols>
          <w:pgMar w:left="240" w:top="295"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56</w:t>
      </w:r>
    </w:p>
    <w:p>
      <w:pPr>
        <w:spacing w:after="0" w:line="8" w:lineRule="exact"/>
        <w:rPr>
          <w:sz w:val="20"/>
          <w:szCs w:val="20"/>
          <w:color w:val="auto"/>
        </w:rPr>
      </w:pPr>
    </w:p>
    <w:p>
      <w:pPr>
        <w:ind w:left="2020" w:hanging="365"/>
        <w:spacing w:after="0"/>
        <w:tabs>
          <w:tab w:leader="none" w:pos="20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Article V or VI in a manner adverse to the Holders</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Notes; and</w:t>
      </w:r>
    </w:p>
    <w:p>
      <w:pPr>
        <w:spacing w:after="0" w:line="184" w:lineRule="exact"/>
        <w:rPr>
          <w:rFonts w:ascii="Courier New" w:cs="Courier New" w:eastAsia="Courier New" w:hAnsi="Courier New"/>
          <w:sz w:val="15"/>
          <w:szCs w:val="15"/>
          <w:color w:val="auto"/>
        </w:rPr>
      </w:pPr>
    </w:p>
    <w:p>
      <w:pPr>
        <w:ind w:left="820" w:right="3299" w:firstLine="835"/>
        <w:spacing w:after="0" w:line="253" w:lineRule="auto"/>
        <w:tabs>
          <w:tab w:leader="none" w:pos="20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foregoing amendment and waiver provisions of this Article XI.</w:t>
      </w:r>
    </w:p>
    <w:p>
      <w:pPr>
        <w:spacing w:after="0" w:line="174" w:lineRule="exact"/>
        <w:rPr>
          <w:sz w:val="20"/>
          <w:szCs w:val="20"/>
          <w:color w:val="auto"/>
        </w:rPr>
      </w:pPr>
    </w:p>
    <w:p>
      <w:pPr>
        <w:ind w:left="820" w:right="3019" w:firstLine="830"/>
        <w:spacing w:after="0" w:line="251" w:lineRule="auto"/>
        <w:rPr>
          <w:sz w:val="20"/>
          <w:szCs w:val="20"/>
          <w:color w:val="auto"/>
        </w:rPr>
      </w:pPr>
      <w:r>
        <w:rPr>
          <w:rFonts w:ascii="Courier New" w:cs="Courier New" w:eastAsia="Courier New" w:hAnsi="Courier New"/>
          <w:sz w:val="15"/>
          <w:szCs w:val="15"/>
          <w:color w:val="auto"/>
        </w:rPr>
        <w:t>To secure a consent of the Holders under this Section 11.02, it shall not be necessary for the Holders to approve the particular form of any proposed amendment, supplement or waiver, but it shall be sufficient if such consent approves the substance thereof.</w:t>
      </w:r>
    </w:p>
    <w:p>
      <w:pPr>
        <w:spacing w:after="0" w:line="176" w:lineRule="exact"/>
        <w:rPr>
          <w:sz w:val="20"/>
          <w:szCs w:val="20"/>
          <w:color w:val="auto"/>
        </w:rPr>
      </w:pPr>
    </w:p>
    <w:p>
      <w:pPr>
        <w:jc w:val="both"/>
        <w:ind w:left="820" w:right="3119" w:firstLine="830"/>
        <w:spacing w:after="0" w:line="252" w:lineRule="auto"/>
        <w:rPr>
          <w:sz w:val="20"/>
          <w:szCs w:val="20"/>
          <w:color w:val="auto"/>
        </w:rPr>
      </w:pPr>
      <w:r>
        <w:rPr>
          <w:rFonts w:ascii="Courier New" w:cs="Courier New" w:eastAsia="Courier New" w:hAnsi="Courier New"/>
          <w:sz w:val="15"/>
          <w:szCs w:val="15"/>
          <w:color w:val="auto"/>
        </w:rPr>
        <w:t>After an amendment, supplement or waiver under this Section 11.02 becomes effective, the Company shall mail to Holders a notice briefly describing the amendment or waiver.</w:t>
      </w:r>
    </w:p>
    <w:p>
      <w:pPr>
        <w:spacing w:after="0" w:line="17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11.03.</w:t>
        <w:tab/>
        <w:t>COMPLIANCE WITH TRUST INDENTURE ACT.</w:t>
      </w:r>
    </w:p>
    <w:p>
      <w:pPr>
        <w:spacing w:after="0" w:line="185" w:lineRule="exact"/>
        <w:rPr>
          <w:sz w:val="20"/>
          <w:szCs w:val="20"/>
          <w:color w:val="auto"/>
        </w:rPr>
      </w:pPr>
    </w:p>
    <w:p>
      <w:pPr>
        <w:ind w:left="820" w:right="2839" w:firstLine="830"/>
        <w:spacing w:after="0" w:line="252" w:lineRule="auto"/>
        <w:rPr>
          <w:sz w:val="20"/>
          <w:szCs w:val="20"/>
          <w:color w:val="auto"/>
        </w:rPr>
      </w:pPr>
      <w:r>
        <w:rPr>
          <w:rFonts w:ascii="Courier New" w:cs="Courier New" w:eastAsia="Courier New" w:hAnsi="Courier New"/>
          <w:sz w:val="15"/>
          <w:szCs w:val="15"/>
          <w:color w:val="auto"/>
        </w:rPr>
        <w:t>Every amendment to this Indenture or the Notes shall be set forth in a supplemental indenture that complies with the TIA as then in effect.</w:t>
      </w:r>
    </w:p>
    <w:p>
      <w:pPr>
        <w:spacing w:after="0" w:line="17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11.04.</w:t>
        <w:tab/>
        <w:t>REVOCATION AND EFFECT OF CONSENTS.</w:t>
      </w:r>
    </w:p>
    <w:p>
      <w:pPr>
        <w:spacing w:after="0" w:line="185" w:lineRule="exact"/>
        <w:rPr>
          <w:sz w:val="20"/>
          <w:szCs w:val="20"/>
          <w:color w:val="auto"/>
        </w:rPr>
      </w:pPr>
    </w:p>
    <w:p>
      <w:pPr>
        <w:ind w:left="820" w:right="2939" w:firstLine="830"/>
        <w:spacing w:after="0" w:line="250" w:lineRule="auto"/>
        <w:rPr>
          <w:sz w:val="20"/>
          <w:szCs w:val="20"/>
          <w:color w:val="auto"/>
        </w:rPr>
      </w:pPr>
      <w:r>
        <w:rPr>
          <w:rFonts w:ascii="Courier New" w:cs="Courier New" w:eastAsia="Courier New" w:hAnsi="Courier New"/>
          <w:sz w:val="15"/>
          <w:szCs w:val="15"/>
          <w:color w:val="auto"/>
        </w:rPr>
        <w:t>Until an amendment, supplement or waiver becomes effective, a consent to it by a Holder of a Note is a continuing consent by the Holder and every subsequent Holder of a Note or portion of a Note that evidences the same debt as the consenting Holder's Note, even if notation of the consent is not made on any Note. However, any such Holder or subsequent Holder may revoke the consent as to his Note or portion of a Note if the Trustee receives the notice of revocation before the date on which the Trustee receives an Officers' Certificate certifying that the Holders of the requisite principal amount of Notes have consented to the amendment, supplement or waiver.</w:t>
      </w:r>
    </w:p>
    <w:p>
      <w:pPr>
        <w:spacing w:after="0" w:line="182" w:lineRule="exact"/>
        <w:rPr>
          <w:sz w:val="20"/>
          <w:szCs w:val="20"/>
          <w:color w:val="auto"/>
        </w:rPr>
      </w:pPr>
    </w:p>
    <w:p>
      <w:pPr>
        <w:ind w:left="820" w:right="2939" w:firstLine="830"/>
        <w:spacing w:after="0" w:line="250" w:lineRule="auto"/>
        <w:rPr>
          <w:sz w:val="20"/>
          <w:szCs w:val="20"/>
          <w:color w:val="auto"/>
        </w:rPr>
      </w:pPr>
      <w:r>
        <w:rPr>
          <w:rFonts w:ascii="Courier New" w:cs="Courier New" w:eastAsia="Courier New" w:hAnsi="Courier New"/>
          <w:sz w:val="15"/>
          <w:szCs w:val="15"/>
          <w:color w:val="auto"/>
        </w:rPr>
        <w:t>The Company may, but shall not be obligated to, fix a record date for the purpose of determining the Holders entitled to consent to any amendment, supplement or waiver. If a record date is fixed, then notwithstanding the provisions of the immediately preceding paragraph,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consent shall be valid or effective for more than 90 days after such record date unless consents from Holders of the principal amount of Notes required hereunder for such amendment or waiver to be effective shall have also been given and not revoked within such 90-day period.</w:t>
      </w:r>
    </w:p>
    <w:p>
      <w:pPr>
        <w:spacing w:after="0" w:line="183"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After an amendment, supplement or waiver becomes effective it shall bind every Holder, unless it is of the type described in any of clauses (a) through (j) of Section 11.02 hereof. In such case, the amendment or waiver shall bind each Holder who has consented to it and every subsequent Holder that evidences the same debt as the consenting Holder's Note.</w:t>
      </w:r>
    </w:p>
    <w:p>
      <w:pPr>
        <w:spacing w:after="0" w:line="17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11.05.</w:t>
        <w:tab/>
        <w:t>NOTATION ON OR EXCHANGE OF NOTES.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95"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57</w:t>
      </w:r>
    </w:p>
    <w:p>
      <w:pPr>
        <w:spacing w:after="0" w:line="8"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The Trustee may place an appropriate notation about an amendment or waiver on any Note thereafter authenticated. The Company in exchange for all Notes may issue and the Trustee shall authenticate new Notes that reflect the amendment or waiver.</w:t>
      </w:r>
    </w:p>
    <w:p>
      <w:pPr>
        <w:spacing w:after="0" w:line="176" w:lineRule="exact"/>
        <w:rPr>
          <w:sz w:val="20"/>
          <w:szCs w:val="20"/>
          <w:color w:val="auto"/>
        </w:rPr>
      </w:pPr>
    </w:p>
    <w:p>
      <w:pPr>
        <w:jc w:val="both"/>
        <w:ind w:left="820" w:right="2839" w:firstLine="830"/>
        <w:spacing w:after="0" w:line="252" w:lineRule="auto"/>
        <w:rPr>
          <w:sz w:val="20"/>
          <w:szCs w:val="20"/>
          <w:color w:val="auto"/>
        </w:rPr>
      </w:pPr>
      <w:r>
        <w:rPr>
          <w:rFonts w:ascii="Courier New" w:cs="Courier New" w:eastAsia="Courier New" w:hAnsi="Courier New"/>
          <w:sz w:val="15"/>
          <w:szCs w:val="15"/>
          <w:color w:val="auto"/>
        </w:rPr>
        <w:t>Failure to make such notation on a Note or to issue a new Note as aforesaid shall not affect the validity and effect of such amendment or waiver.</w:t>
      </w:r>
    </w:p>
    <w:p>
      <w:pPr>
        <w:spacing w:after="0" w:line="17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11.06.</w:t>
        <w:tab/>
        <w:t>TRUSTEE PROTECTED.</w:t>
      </w:r>
    </w:p>
    <w:p>
      <w:pPr>
        <w:spacing w:after="0" w:line="185"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The Trustee shall sign all supplemental indentures, except that the Trustee may, but need not, sign any supplemental indenture that adversely affects its rights, obligations or protections. Upon request by the Company to sign any amendment or supplement, the Trustee shall be entitled to request and receive from the Company, and to rely upon, an Opinion of Counsel and Officer's Certificate to the effect that such supplement or amendment is authorized or permitted under this Article XI.</w:t>
      </w:r>
    </w:p>
    <w:p>
      <w:pPr>
        <w:spacing w:after="0" w:line="17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ARTICLE XII</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MISCELLANEOUS</w:t>
      </w:r>
    </w:p>
    <w:p>
      <w:pPr>
        <w:spacing w:after="0" w:line="18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12.01.</w:t>
        <w:tab/>
        <w:t>TRUST INDENTURE ACT CONTROLS.</w:t>
      </w:r>
    </w:p>
    <w:p>
      <w:pPr>
        <w:spacing w:after="0" w:line="185"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This Indenture is subject to the provisions of the TIA that are required to be incorporated into this Indenture (or, prior to the registration of the Notes pursuant to the Registration Rights Agreement, would be required to be incorporated into this Indenture if it were qualified under the TIA), and shall, to the extent applicable, be governed by such provisions. If any provision of this Indenture limits, qualifies, or conflicts with another provision which is required (or would be so required) to be incorporated in this Indenture by the TIA, the incorporated provision shall control.</w:t>
      </w:r>
    </w:p>
    <w:p>
      <w:pPr>
        <w:spacing w:after="0" w:line="17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12.02.</w:t>
        <w:tab/>
        <w:t>NOTICES.</w:t>
      </w:r>
    </w:p>
    <w:p>
      <w:pPr>
        <w:spacing w:after="0" w:line="185"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Any notice or communication by the Company or the Trustee to the other is duly given if in writing and delivered in Person or mailed by first class mail to the other's address stated in Section 12.10 hereof. The Company or the Trustee by notice to the other may designate additional or different addresses for subsequent notices or communications.</w:t>
      </w:r>
    </w:p>
    <w:p>
      <w:pPr>
        <w:spacing w:after="0" w:line="176"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Any notice or communication to a Holder shall be mailed by first class mail to his address shown on the register kept by the Registrar. Failure to mail a notice or communication to a Holder or any defect in it shall not affect its sufficiency with respect to other Holders.</w:t>
      </w:r>
    </w:p>
    <w:p>
      <w:pPr>
        <w:spacing w:after="0" w:line="176" w:lineRule="exact"/>
        <w:rPr>
          <w:sz w:val="20"/>
          <w:szCs w:val="20"/>
          <w:color w:val="auto"/>
        </w:rPr>
      </w:pPr>
    </w:p>
    <w:p>
      <w:pPr>
        <w:jc w:val="both"/>
        <w:ind w:left="820" w:right="2939" w:firstLine="830"/>
        <w:spacing w:after="0" w:line="252" w:lineRule="auto"/>
        <w:rPr>
          <w:sz w:val="20"/>
          <w:szCs w:val="20"/>
          <w:color w:val="auto"/>
        </w:rPr>
      </w:pPr>
      <w:r>
        <w:rPr>
          <w:rFonts w:ascii="Courier New" w:cs="Courier New" w:eastAsia="Courier New" w:hAnsi="Courier New"/>
          <w:sz w:val="15"/>
          <w:szCs w:val="15"/>
          <w:color w:val="auto"/>
        </w:rPr>
        <w:t>If a notice or communication is mailed in the manner provided above within the time prescribed, it is duly given, whether or not the addressee receives it.</w:t>
      </w:r>
    </w:p>
    <w:p>
      <w:pPr>
        <w:spacing w:after="0" w:line="175" w:lineRule="exact"/>
        <w:rPr>
          <w:sz w:val="20"/>
          <w:szCs w:val="20"/>
          <w:color w:val="auto"/>
        </w:rPr>
      </w:pPr>
    </w:p>
    <w:p>
      <w:pPr>
        <w:jc w:val="both"/>
        <w:ind w:left="820" w:right="2939" w:firstLine="830"/>
        <w:spacing w:after="0" w:line="253" w:lineRule="auto"/>
        <w:rPr>
          <w:sz w:val="20"/>
          <w:szCs w:val="20"/>
          <w:color w:val="auto"/>
        </w:rPr>
      </w:pPr>
      <w:r>
        <w:rPr>
          <w:rFonts w:ascii="Courier New" w:cs="Courier New" w:eastAsia="Courier New" w:hAnsi="Courier New"/>
          <w:sz w:val="15"/>
          <w:szCs w:val="15"/>
          <w:color w:val="auto"/>
        </w:rPr>
        <w:t>If the Company mails a notice or communication to Holders, it shall mail a copy to the Trustee and each Agent at the same time.</w:t>
      </w:r>
    </w:p>
    <w:p>
      <w:pPr>
        <w:spacing w:after="0" w:line="174"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All other notices or communications shall be in writing.</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95"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58</w:t>
      </w:r>
    </w:p>
    <w:p>
      <w:pPr>
        <w:spacing w:after="0" w:line="8" w:lineRule="exact"/>
        <w:rPr>
          <w:sz w:val="20"/>
          <w:szCs w:val="20"/>
          <w:color w:val="auto"/>
        </w:rPr>
      </w:pPr>
    </w:p>
    <w:p>
      <w:pPr>
        <w:ind w:left="820" w:right="3019" w:firstLine="830"/>
        <w:spacing w:after="0" w:line="251" w:lineRule="auto"/>
        <w:rPr>
          <w:sz w:val="20"/>
          <w:szCs w:val="20"/>
          <w:color w:val="auto"/>
        </w:rPr>
      </w:pPr>
      <w:r>
        <w:rPr>
          <w:rFonts w:ascii="Courier New" w:cs="Courier New" w:eastAsia="Courier New" w:hAnsi="Courier New"/>
          <w:sz w:val="15"/>
          <w:szCs w:val="15"/>
          <w:color w:val="auto"/>
        </w:rPr>
        <w:t>In case by reason of the suspension of regular mail service, or by reason of any other cause, it shall be impossible to mail any notice as required by the Indenture, then such method of notification as shall be made with the approval of the Trustee shall constitute a sufficient mailing of such notice.</w:t>
      </w:r>
    </w:p>
    <w:p>
      <w:pPr>
        <w:spacing w:after="0" w:line="17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12.03.</w:t>
        <w:tab/>
        <w:t>COMMUNICATION BY HOLDERS WITH OTHER HOLDERS.</w:t>
      </w:r>
    </w:p>
    <w:p>
      <w:pPr>
        <w:spacing w:after="0" w:line="185"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Holders may communicate pursuant to TIA Section 312(b) with other Holders with respect to their rights under this Indenture or the Notes. The Company, the Trustee, the Registrar and anyone else shall have the protection of TIA Section 312(c).</w:t>
      </w:r>
    </w:p>
    <w:p>
      <w:pPr>
        <w:spacing w:after="0" w:line="17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12.04.</w:t>
        <w:tab/>
        <w:t>CERTIFICATE AND OPINION AS TO CONDITIONS PRECEDENT.</w:t>
      </w:r>
    </w:p>
    <w:p>
      <w:pPr>
        <w:spacing w:after="0" w:line="185" w:lineRule="exact"/>
        <w:rPr>
          <w:sz w:val="20"/>
          <w:szCs w:val="20"/>
          <w:color w:val="auto"/>
        </w:rPr>
      </w:pPr>
    </w:p>
    <w:p>
      <w:pPr>
        <w:ind w:left="820" w:right="2939" w:firstLine="830"/>
        <w:spacing w:after="0" w:line="252" w:lineRule="auto"/>
        <w:rPr>
          <w:sz w:val="20"/>
          <w:szCs w:val="20"/>
          <w:color w:val="auto"/>
        </w:rPr>
      </w:pPr>
      <w:r>
        <w:rPr>
          <w:rFonts w:ascii="Courier New" w:cs="Courier New" w:eastAsia="Courier New" w:hAnsi="Courier New"/>
          <w:sz w:val="15"/>
          <w:szCs w:val="15"/>
          <w:color w:val="auto"/>
        </w:rPr>
        <w:t>Upon any request or application by the Company to the Trustee to take any action under this Indenture, the Company shall furnish to the Trustee:</w:t>
      </w:r>
    </w:p>
    <w:p>
      <w:pPr>
        <w:spacing w:after="0" w:line="175" w:lineRule="exact"/>
        <w:rPr>
          <w:sz w:val="20"/>
          <w:szCs w:val="20"/>
          <w:color w:val="auto"/>
        </w:rPr>
      </w:pPr>
    </w:p>
    <w:p>
      <w:pPr>
        <w:ind w:left="820" w:right="2939" w:firstLine="835"/>
        <w:spacing w:after="0" w:line="252" w:lineRule="auto"/>
        <w:tabs>
          <w:tab w:leader="none" w:pos="20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stating that, in the opinion of the signers, all conditions precedent, if any, provided for in this Indenture relating to the proposed action have been complied with; and</w:t>
      </w:r>
    </w:p>
    <w:p>
      <w:pPr>
        <w:spacing w:after="0" w:line="174" w:lineRule="exact"/>
        <w:rPr>
          <w:rFonts w:ascii="Courier New" w:cs="Courier New" w:eastAsia="Courier New" w:hAnsi="Courier New"/>
          <w:sz w:val="15"/>
          <w:szCs w:val="15"/>
          <w:color w:val="auto"/>
        </w:rPr>
      </w:pPr>
    </w:p>
    <w:p>
      <w:pPr>
        <w:ind w:left="820" w:right="2839" w:firstLine="835"/>
        <w:spacing w:after="0" w:line="253" w:lineRule="auto"/>
        <w:tabs>
          <w:tab w:leader="none" w:pos="20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stating that, in the opinion of such counsel, all such conditions precedent have been complied with.</w:t>
      </w:r>
    </w:p>
    <w:p>
      <w:pPr>
        <w:spacing w:after="0" w:line="17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12.05.</w:t>
        <w:tab/>
        <w:t>STATEMENTS REQUIRED IN CERTIFICATE OR OPINION.</w:t>
      </w:r>
    </w:p>
    <w:p>
      <w:pPr>
        <w:spacing w:after="0" w:line="185" w:lineRule="exact"/>
        <w:rPr>
          <w:sz w:val="20"/>
          <w:szCs w:val="20"/>
          <w:color w:val="auto"/>
        </w:rPr>
      </w:pPr>
    </w:p>
    <w:p>
      <w:pPr>
        <w:ind w:left="820" w:right="2939" w:firstLine="830"/>
        <w:spacing w:after="0" w:line="252" w:lineRule="auto"/>
        <w:rPr>
          <w:sz w:val="20"/>
          <w:szCs w:val="20"/>
          <w:color w:val="auto"/>
        </w:rPr>
      </w:pPr>
      <w:r>
        <w:rPr>
          <w:rFonts w:ascii="Courier New" w:cs="Courier New" w:eastAsia="Courier New" w:hAnsi="Courier New"/>
          <w:sz w:val="15"/>
          <w:szCs w:val="15"/>
          <w:color w:val="auto"/>
        </w:rPr>
        <w:t>Each certificate or opinion with respect to compliance with a condition or covenant provided for in this Indenture (other than pursuant to Section 4.03) shall include:</w:t>
      </w:r>
    </w:p>
    <w:p>
      <w:pPr>
        <w:spacing w:after="0" w:line="175" w:lineRule="exact"/>
        <w:rPr>
          <w:sz w:val="20"/>
          <w:szCs w:val="20"/>
          <w:color w:val="auto"/>
        </w:rPr>
      </w:pPr>
    </w:p>
    <w:p>
      <w:pPr>
        <w:ind w:left="820" w:right="3119" w:firstLine="835"/>
        <w:spacing w:after="0" w:line="253" w:lineRule="auto"/>
        <w:tabs>
          <w:tab w:leader="none" w:pos="20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the Person signing such certificate or rendering such opinion has read such covenant or condition;</w:t>
      </w:r>
    </w:p>
    <w:p>
      <w:pPr>
        <w:spacing w:after="0" w:line="174" w:lineRule="exact"/>
        <w:rPr>
          <w:rFonts w:ascii="Courier New" w:cs="Courier New" w:eastAsia="Courier New" w:hAnsi="Courier New"/>
          <w:sz w:val="15"/>
          <w:szCs w:val="15"/>
          <w:color w:val="auto"/>
        </w:rPr>
      </w:pPr>
    </w:p>
    <w:p>
      <w:pPr>
        <w:ind w:left="820" w:right="3299" w:firstLine="835"/>
        <w:spacing w:after="0" w:line="252" w:lineRule="auto"/>
        <w:tabs>
          <w:tab w:leader="none" w:pos="20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174" w:lineRule="exact"/>
        <w:rPr>
          <w:rFonts w:ascii="Courier New" w:cs="Courier New" w:eastAsia="Courier New" w:hAnsi="Courier New"/>
          <w:sz w:val="15"/>
          <w:szCs w:val="15"/>
          <w:color w:val="auto"/>
        </w:rPr>
      </w:pPr>
    </w:p>
    <w:p>
      <w:pPr>
        <w:ind w:left="820" w:right="2939" w:firstLine="835"/>
        <w:spacing w:after="0" w:line="251" w:lineRule="auto"/>
        <w:tabs>
          <w:tab w:leader="none" w:pos="20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176" w:lineRule="exact"/>
        <w:rPr>
          <w:rFonts w:ascii="Courier New" w:cs="Courier New" w:eastAsia="Courier New" w:hAnsi="Courier New"/>
          <w:sz w:val="15"/>
          <w:szCs w:val="15"/>
          <w:color w:val="auto"/>
        </w:rPr>
      </w:pPr>
    </w:p>
    <w:p>
      <w:pPr>
        <w:ind w:left="820" w:right="3019" w:firstLine="835"/>
        <w:spacing w:after="0" w:line="253" w:lineRule="auto"/>
        <w:tabs>
          <w:tab w:leader="none" w:pos="20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as to whether or not, in the opinion of such Person, such condition or covenant has been complied with.</w:t>
      </w:r>
    </w:p>
    <w:p>
      <w:pPr>
        <w:spacing w:after="0" w:line="17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12.06.</w:t>
        <w:tab/>
        <w:t>RULES BY TRUSTEE AND AGENTS.</w:t>
      </w:r>
    </w:p>
    <w:p>
      <w:pPr>
        <w:spacing w:after="0" w:line="185" w:lineRule="exact"/>
        <w:rPr>
          <w:sz w:val="20"/>
          <w:szCs w:val="20"/>
          <w:color w:val="auto"/>
        </w:rPr>
      </w:pPr>
    </w:p>
    <w:p>
      <w:pPr>
        <w:ind w:left="820" w:right="2939" w:firstLine="830"/>
        <w:spacing w:after="0" w:line="252" w:lineRule="auto"/>
        <w:rPr>
          <w:sz w:val="20"/>
          <w:szCs w:val="20"/>
          <w:color w:val="auto"/>
        </w:rPr>
      </w:pPr>
      <w:r>
        <w:rPr>
          <w:rFonts w:ascii="Courier New" w:cs="Courier New" w:eastAsia="Courier New" w:hAnsi="Courier New"/>
          <w:sz w:val="15"/>
          <w:szCs w:val="15"/>
          <w:color w:val="auto"/>
        </w:rPr>
        <w:t>The Trustee may make reasonable rules for action by, or a meeting of, Holders. The Registrar or Paying Agent may make reasonable rules and set reasonable requirements for its functions.</w:t>
      </w:r>
    </w:p>
    <w:p>
      <w:pPr>
        <w:spacing w:after="0" w:line="17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12.07.</w:t>
        <w:tab/>
        <w:t>LEGAL HOLIDAYS.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95"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59</w:t>
      </w:r>
    </w:p>
    <w:p>
      <w:pPr>
        <w:spacing w:after="0" w:line="8" w:lineRule="exact"/>
        <w:rPr>
          <w:sz w:val="20"/>
          <w:szCs w:val="20"/>
          <w:color w:val="auto"/>
        </w:rPr>
      </w:pPr>
    </w:p>
    <w:p>
      <w:pPr>
        <w:ind w:left="820" w:right="3019" w:firstLine="830"/>
        <w:spacing w:after="0" w:line="251" w:lineRule="auto"/>
        <w:rPr>
          <w:sz w:val="20"/>
          <w:szCs w:val="20"/>
          <w:color w:val="auto"/>
        </w:rPr>
      </w:pPr>
      <w:r>
        <w:rPr>
          <w:rFonts w:ascii="Courier New" w:cs="Courier New" w:eastAsia="Courier New" w:hAnsi="Courier New"/>
          <w:sz w:val="15"/>
          <w:szCs w:val="15"/>
          <w:color w:val="auto"/>
        </w:rPr>
        <w:t>A "LEGAL HOLIDAY" is a Saturday, a Sunday or a day on which banking institutions in the State of New York are not required to be open. If a payment date is a Legal Holiday at a place of payment, payment may be made at that place on the next succeeding day that is not a Legal Holiday, and no interest shall accrue for the intervening period. If any other operative date for purposes of this Indenture shall occur on a Legal Holiday then for all purposes the next succeeding day that is not a Legal Holiday shall be such operative date.</w:t>
      </w:r>
    </w:p>
    <w:p>
      <w:pPr>
        <w:spacing w:after="0" w:line="17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12.08.</w:t>
        <w:tab/>
        <w:t>NO RECOURSE AGAINST OTHERS.</w:t>
      </w:r>
    </w:p>
    <w:p>
      <w:pPr>
        <w:spacing w:after="0" w:line="185" w:lineRule="exact"/>
        <w:rPr>
          <w:sz w:val="20"/>
          <w:szCs w:val="20"/>
          <w:color w:val="auto"/>
        </w:rPr>
      </w:pPr>
    </w:p>
    <w:p>
      <w:pPr>
        <w:jc w:val="both"/>
        <w:ind w:left="820" w:right="2839" w:firstLine="830"/>
        <w:spacing w:after="0" w:line="250" w:lineRule="auto"/>
        <w:rPr>
          <w:sz w:val="20"/>
          <w:szCs w:val="20"/>
          <w:color w:val="auto"/>
        </w:rPr>
      </w:pPr>
      <w:r>
        <w:rPr>
          <w:rFonts w:ascii="Courier New" w:cs="Courier New" w:eastAsia="Courier New" w:hAnsi="Courier New"/>
          <w:sz w:val="15"/>
          <w:szCs w:val="15"/>
          <w:color w:val="auto"/>
        </w:rPr>
        <w:t>A director, officer, employee, incorporator or shareholder of the Company, as such, shall not have any liability for any Obligations of the Company under the Notes or this Indenture or for any claim based on, in respect of or by reason of such Obligations or their creation.</w:t>
      </w:r>
    </w:p>
    <w:p>
      <w:pPr>
        <w:spacing w:after="0" w:line="2" w:lineRule="exact"/>
        <w:rPr>
          <w:sz w:val="20"/>
          <w:szCs w:val="20"/>
          <w:color w:val="auto"/>
        </w:rPr>
      </w:pPr>
    </w:p>
    <w:p>
      <w:pPr>
        <w:ind w:left="820" w:right="2839"/>
        <w:spacing w:after="0" w:line="252" w:lineRule="auto"/>
        <w:rPr>
          <w:sz w:val="20"/>
          <w:szCs w:val="20"/>
          <w:color w:val="auto"/>
        </w:rPr>
      </w:pPr>
      <w:r>
        <w:rPr>
          <w:rFonts w:ascii="Courier New" w:cs="Courier New" w:eastAsia="Courier New" w:hAnsi="Courier New"/>
          <w:sz w:val="15"/>
          <w:szCs w:val="15"/>
          <w:color w:val="auto"/>
        </w:rPr>
        <w:t>Each Holder by accepting a Note waives and releases all such liability. The waiver and release are part of the consideration for the issue of the Notes.</w:t>
      </w:r>
    </w:p>
    <w:p>
      <w:pPr>
        <w:spacing w:after="0" w:line="17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12.09.</w:t>
        <w:tab/>
        <w:t>COUNTERPARTS AND FACSIMILE SIGNATURES.</w:t>
      </w:r>
    </w:p>
    <w:p>
      <w:pPr>
        <w:spacing w:after="0" w:line="185"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This Indenture may be executed by manual or facsimile signature in any number of counterparts and by the parties hereto in separate counterparts, each of which when so executed shall be deemed to be an original and all of which taken together shall constitute one and the same agreement.</w:t>
      </w:r>
    </w:p>
    <w:p>
      <w:pPr>
        <w:spacing w:after="0" w:line="17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12.10.</w:t>
        <w:tab/>
        <w:t>VARIABLE PROVISIONS.</w:t>
      </w:r>
    </w:p>
    <w:p>
      <w:pPr>
        <w:spacing w:after="0" w:line="185" w:lineRule="exact"/>
        <w:rPr>
          <w:sz w:val="20"/>
          <w:szCs w:val="20"/>
          <w:color w:val="auto"/>
        </w:rPr>
      </w:pPr>
    </w:p>
    <w:p>
      <w:pPr>
        <w:ind w:left="820" w:right="2839" w:firstLine="830"/>
        <w:spacing w:after="0" w:line="253" w:lineRule="auto"/>
        <w:rPr>
          <w:sz w:val="20"/>
          <w:szCs w:val="20"/>
          <w:color w:val="auto"/>
        </w:rPr>
      </w:pPr>
      <w:r>
        <w:rPr>
          <w:rFonts w:ascii="Courier New" w:cs="Courier New" w:eastAsia="Courier New" w:hAnsi="Courier New"/>
          <w:sz w:val="15"/>
          <w:szCs w:val="15"/>
          <w:color w:val="auto"/>
        </w:rPr>
        <w:t>The first certificate pursuant to Section 4.03 hereof shall be for the fiscal year ended on December 31, 2001.</w:t>
      </w:r>
    </w:p>
    <w:p>
      <w:pPr>
        <w:spacing w:after="0" w:line="174" w:lineRule="exact"/>
        <w:rPr>
          <w:sz w:val="20"/>
          <w:szCs w:val="20"/>
          <w:color w:val="auto"/>
        </w:rPr>
      </w:pPr>
    </w:p>
    <w:p>
      <w:pPr>
        <w:ind w:left="820" w:right="2839" w:firstLine="830"/>
        <w:spacing w:after="0" w:line="253" w:lineRule="auto"/>
        <w:rPr>
          <w:sz w:val="20"/>
          <w:szCs w:val="20"/>
          <w:color w:val="auto"/>
        </w:rPr>
      </w:pPr>
      <w:r>
        <w:rPr>
          <w:rFonts w:ascii="Courier New" w:cs="Courier New" w:eastAsia="Courier New" w:hAnsi="Courier New"/>
          <w:sz w:val="15"/>
          <w:szCs w:val="15"/>
          <w:color w:val="auto"/>
        </w:rPr>
        <w:t>The reporting date for Section 9.06 hereof is September 15, of each year. The first reporting date is September 15, 2000.</w:t>
      </w:r>
    </w:p>
    <w:p>
      <w:pPr>
        <w:spacing w:after="0" w:line="174" w:lineRule="exact"/>
        <w:rPr>
          <w:sz w:val="20"/>
          <w:szCs w:val="20"/>
          <w:color w:val="auto"/>
        </w:rPr>
      </w:pPr>
    </w:p>
    <w:p>
      <w:pPr>
        <w:ind w:left="820" w:right="3019" w:firstLine="830"/>
        <w:spacing w:after="0" w:line="252" w:lineRule="auto"/>
        <w:rPr>
          <w:sz w:val="20"/>
          <w:szCs w:val="20"/>
          <w:color w:val="auto"/>
        </w:rPr>
      </w:pPr>
      <w:r>
        <w:rPr>
          <w:rFonts w:ascii="Courier New" w:cs="Courier New" w:eastAsia="Courier New" w:hAnsi="Courier New"/>
          <w:sz w:val="15"/>
          <w:szCs w:val="15"/>
          <w:color w:val="auto"/>
        </w:rPr>
        <w:t>The Trustee shall always have a combined capital and surplus of at least $100,000,000 as set forth in its most recent published annual report of condition.</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The Company's address is:</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Akamai Technologies,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500 Technology Square</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Cambridge, Massachusetts 02139</w:t>
      </w:r>
    </w:p>
    <w:p>
      <w:pPr>
        <w:spacing w:after="0" w:line="8" w:lineRule="exact"/>
        <w:rPr>
          <w:sz w:val="20"/>
          <w:szCs w:val="20"/>
          <w:color w:val="auto"/>
        </w:rPr>
      </w:pPr>
    </w:p>
    <w:p>
      <w:pPr>
        <w:ind w:left="1660"/>
        <w:spacing w:after="0"/>
        <w:tabs>
          <w:tab w:leader="none" w:pos="274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Trustee's address is:</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if by mail:</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 O. Box 778</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Boston, Massachusetts 02102-0778</w:t>
      </w:r>
    </w:p>
    <w:p>
      <w:pPr>
        <w:spacing w:after="0" w:line="8" w:lineRule="exact"/>
        <w:rPr>
          <w:sz w:val="20"/>
          <w:szCs w:val="20"/>
          <w:color w:val="auto"/>
        </w:rPr>
      </w:pPr>
    </w:p>
    <w:p>
      <w:pPr>
        <w:ind w:left="1660"/>
        <w:spacing w:after="0"/>
        <w:tabs>
          <w:tab w:leader="none" w:pos="2740" w:val="left"/>
        </w:tabs>
        <w:rPr>
          <w:sz w:val="20"/>
          <w:szCs w:val="20"/>
          <w:color w:val="auto"/>
        </w:rPr>
      </w:pPr>
      <w:r>
        <w:rPr>
          <w:rFonts w:ascii="Courier New" w:cs="Courier New" w:eastAsia="Courier New" w:hAnsi="Courier New"/>
          <w:sz w:val="15"/>
          <w:szCs w:val="15"/>
          <w:color w:val="auto"/>
        </w:rPr>
        <w:t>Attention:</w:t>
        <w:tab/>
        <w:t>Corporate Trust Administration</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95"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60</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if by delivery or overnight courier:</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Two Avenue de Lafayette</w:t>
      </w:r>
    </w:p>
    <w:p>
      <w:pPr>
        <w:spacing w:after="0" w:line="8" w:lineRule="exact"/>
        <w:rPr>
          <w:sz w:val="20"/>
          <w:szCs w:val="20"/>
          <w:color w:val="auto"/>
        </w:rPr>
      </w:pPr>
    </w:p>
    <w:p>
      <w:pPr>
        <w:ind w:left="1660"/>
        <w:spacing w:after="0"/>
        <w:tabs>
          <w:tab w:leader="none" w:pos="3760" w:val="left"/>
        </w:tabs>
        <w:rPr>
          <w:sz w:val="20"/>
          <w:szCs w:val="20"/>
          <w:color w:val="auto"/>
        </w:rPr>
      </w:pPr>
      <w:r>
        <w:rPr>
          <w:rFonts w:ascii="Courier New" w:cs="Courier New" w:eastAsia="Courier New" w:hAnsi="Courier New"/>
          <w:sz w:val="15"/>
          <w:szCs w:val="15"/>
          <w:color w:val="auto"/>
        </w:rPr>
        <w:t>Boston, Massachusetts</w:t>
        <w:tab/>
        <w:t>02110-1724</w:t>
      </w:r>
    </w:p>
    <w:p>
      <w:pPr>
        <w:spacing w:after="0" w:line="8" w:lineRule="exact"/>
        <w:rPr>
          <w:sz w:val="20"/>
          <w:szCs w:val="20"/>
          <w:color w:val="auto"/>
        </w:rPr>
      </w:pPr>
    </w:p>
    <w:p>
      <w:pPr>
        <w:ind w:left="1660"/>
        <w:spacing w:after="0"/>
        <w:tabs>
          <w:tab w:leader="none" w:pos="2740" w:val="left"/>
        </w:tabs>
        <w:rPr>
          <w:sz w:val="20"/>
          <w:szCs w:val="20"/>
          <w:color w:val="auto"/>
        </w:rPr>
      </w:pPr>
      <w:r>
        <w:rPr>
          <w:rFonts w:ascii="Courier New" w:cs="Courier New" w:eastAsia="Courier New" w:hAnsi="Courier New"/>
          <w:sz w:val="15"/>
          <w:szCs w:val="15"/>
          <w:color w:val="auto"/>
        </w:rPr>
        <w:t>Attention:</w:t>
        <w:tab/>
        <w:t>Corporate Trust Administration</w:t>
      </w:r>
    </w:p>
    <w:p>
      <w:pPr>
        <w:spacing w:after="0" w:line="18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12.11.</w:t>
        <w:tab/>
        <w:t>GOVERNING LAW, SUBMISSION TO JURISDICTION.</w:t>
      </w:r>
    </w:p>
    <w:p>
      <w:pPr>
        <w:spacing w:after="0" w:line="362" w:lineRule="exact"/>
        <w:rPr>
          <w:sz w:val="20"/>
          <w:szCs w:val="20"/>
          <w:color w:val="auto"/>
        </w:rPr>
      </w:pPr>
    </w:p>
    <w:p>
      <w:pPr>
        <w:ind w:left="820" w:right="3019" w:firstLine="830"/>
        <w:spacing w:after="0" w:line="252" w:lineRule="auto"/>
        <w:rPr>
          <w:sz w:val="20"/>
          <w:szCs w:val="20"/>
          <w:color w:val="auto"/>
        </w:rPr>
      </w:pPr>
      <w:r>
        <w:rPr>
          <w:rFonts w:ascii="Courier New" w:cs="Courier New" w:eastAsia="Courier New" w:hAnsi="Courier New"/>
          <w:sz w:val="15"/>
          <w:szCs w:val="15"/>
          <w:color w:val="auto"/>
        </w:rPr>
        <w:t>THE INTERNAL LAWS OF THE STATE OF NEW YORK SHALL GOVERN THIS INDENTURE AND THE NOTES, WITHOUT REGARD TO THE CONFLICT OF LAWS PROVISIONS THEREOF.</w:t>
      </w:r>
    </w:p>
    <w:p>
      <w:pPr>
        <w:spacing w:after="0" w:line="175"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To the extent permitted by applicable law, the Company irrevocably submits to the nonexclusive jurisdiction of any federal or state court in the Borough of Manhattan, City and State of New York, United States of America, in any suit or proceeding based on or arising under this Indenture and the Notes and irrevocably agrees that all claims in respect of such suit or proceeding may be determined in any such court. The Company irrevocably and fully waives the defense of an inconvenient forum to the maintenance of such suit or proceeding. The Company hereby irrevocably designates and appoints CT Corporation System as the authorized agent of the Company upon whom process may be served in any such suit or proceeding (the "PROCESS AGENT"), it being understood that the designation and appointment of the Process Agent as such authorized agent shall become effective immediately without any further action on the part of the Company. The Company represents to the Trustee that it has notified the Process Agent of such designation and appointment and that the Process Agent has accepted the same. The Company hereby irrevocably authorizes and directs the Process Agent to accept such service. The Company further agrees that service of process upon the Process Agent shall be deemed in every respect effective service of process upon the Company in any such suit or proceeding. Nothing herein shall affect the right of the Trustee or any Holder to serve process in any other manner permitted by law. In the event that CT Corporation System ceases to be the Process Agent, the Company agrees that it will take any and all action, including the execution and filing of any and all such documents and instruments as may be necessary to validly designate and appoint an alternate agent as Process Agent, and to maintain such designation and appointment in full force and effect so long as the Company has any outstanding obligations under this Indenture or the Notes, on terms that are reasonably acceptable to the Trustee. To the extent that the Company has or hereafter may acquire any immunity from jurisdiction of any court or from any legal process (whether through service of notice, attachment prior to judgment, attachment in aid of execution, execution or otherwise) with respect to itself or its property, the Company hereby irrevocably waives such immunity in respect of its obligations hereunder and thereunder, to the extent permitted by law.</w:t>
      </w:r>
    </w:p>
    <w:p>
      <w:pPr>
        <w:spacing w:after="0" w:line="19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12.12.</w:t>
        <w:tab/>
        <w:t>NO ADVERSE INTERPRETATION OF OTHER AGREEMENTS.</w:t>
      </w:r>
    </w:p>
    <w:p>
      <w:pPr>
        <w:spacing w:after="0" w:line="185" w:lineRule="exact"/>
        <w:rPr>
          <w:sz w:val="20"/>
          <w:szCs w:val="20"/>
          <w:color w:val="auto"/>
        </w:rPr>
      </w:pPr>
    </w:p>
    <w:p>
      <w:pPr>
        <w:ind w:left="820" w:right="2839" w:firstLine="830"/>
        <w:spacing w:after="0" w:line="251" w:lineRule="auto"/>
        <w:rPr>
          <w:sz w:val="20"/>
          <w:szCs w:val="20"/>
          <w:color w:val="auto"/>
        </w:rPr>
      </w:pPr>
      <w:r>
        <w:rPr>
          <w:rFonts w:ascii="Courier New" w:cs="Courier New" w:eastAsia="Courier New" w:hAnsi="Courier New"/>
          <w:sz w:val="15"/>
          <w:szCs w:val="15"/>
          <w:color w:val="auto"/>
        </w:rPr>
        <w:t>This Indenture may not be used to interpret another indenture, loan or debt agreement of the Company or an Affiliate. Any such indenture, loan or debt agreement may not be used to interpret this Indenture.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95"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61</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12.13.</w:t>
        <w:tab/>
        <w:t>SUCCESSORS.</w:t>
      </w:r>
    </w:p>
    <w:p>
      <w:pPr>
        <w:spacing w:after="0" w:line="185" w:lineRule="exact"/>
        <w:rPr>
          <w:sz w:val="20"/>
          <w:szCs w:val="20"/>
          <w:color w:val="auto"/>
        </w:rPr>
      </w:pPr>
    </w:p>
    <w:p>
      <w:pPr>
        <w:ind w:left="820" w:right="2939" w:firstLine="830"/>
        <w:spacing w:after="0" w:line="252" w:lineRule="auto"/>
        <w:rPr>
          <w:sz w:val="20"/>
          <w:szCs w:val="20"/>
          <w:color w:val="auto"/>
        </w:rPr>
      </w:pPr>
      <w:r>
        <w:rPr>
          <w:rFonts w:ascii="Courier New" w:cs="Courier New" w:eastAsia="Courier New" w:hAnsi="Courier New"/>
          <w:sz w:val="15"/>
          <w:szCs w:val="15"/>
          <w:color w:val="auto"/>
        </w:rPr>
        <w:t>All agreements of the Company in this Indenture and the Notes shall bind its successor. All agreements of the Trustee in this Indenture shall bind its successor.</w:t>
      </w:r>
    </w:p>
    <w:p>
      <w:pPr>
        <w:spacing w:after="0" w:line="17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12.14.</w:t>
        <w:tab/>
        <w:t>SEVERABILITY.</w:t>
      </w:r>
    </w:p>
    <w:p>
      <w:pPr>
        <w:spacing w:after="0" w:line="185"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7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12.15.</w:t>
        <w:tab/>
        <w:t>TABLE OF CONTENTS, HEADINGS, ETC.</w:t>
      </w:r>
    </w:p>
    <w:p>
      <w:pPr>
        <w:spacing w:after="0" w:line="185" w:lineRule="exact"/>
        <w:rPr>
          <w:sz w:val="20"/>
          <w:szCs w:val="20"/>
          <w:color w:val="auto"/>
        </w:rPr>
      </w:pPr>
    </w:p>
    <w:p>
      <w:pPr>
        <w:ind w:left="820" w:right="2939" w:firstLine="830"/>
        <w:spacing w:after="0" w:line="251" w:lineRule="auto"/>
        <w:rPr>
          <w:sz w:val="20"/>
          <w:szCs w:val="20"/>
          <w:color w:val="auto"/>
        </w:rPr>
      </w:pPr>
      <w:r>
        <w:rPr>
          <w:rFonts w:ascii="Courier New" w:cs="Courier New" w:eastAsia="Courier New" w:hAnsi="Courier New"/>
          <w:sz w:val="15"/>
          <w:szCs w:val="15"/>
          <w:color w:val="auto"/>
        </w:rPr>
        <w:t>The Table of Contents, Cross-Reference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95"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62</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40" w:right="2939" w:firstLine="830"/>
        <w:spacing w:after="0" w:line="253"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all as of the date first written above.</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AKAMAI TECHNOLOGIES, INC. as Company</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w:t>
      </w:r>
    </w:p>
    <w:p>
      <w:pPr>
        <w:spacing w:after="0" w:line="36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Title:</w:t>
      </w:r>
    </w:p>
    <w:p>
      <w:pPr>
        <w:spacing w:after="0" w:line="36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as Trustee</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Title:</w:t>
      </w:r>
    </w:p>
    <w:p>
      <w:pPr>
        <w:spacing w:after="0" w:line="36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9939"/>
          </w:cols>
          <w:pgMar w:left="520" w:top="295"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63</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A</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AKAMAI TECHNOLOGIES,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NOTES LEGEND]</w:t>
      </w:r>
    </w:p>
    <w:p>
      <w:pPr>
        <w:spacing w:after="0" w:line="185"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2" w:lineRule="exact"/>
        <w:rPr>
          <w:sz w:val="20"/>
          <w:szCs w:val="20"/>
          <w:color w:val="auto"/>
        </w:rPr>
      </w:pPr>
    </w:p>
    <w:p>
      <w:pPr>
        <w:jc w:val="both"/>
        <w:ind w:left="820" w:right="2839" w:firstLine="830"/>
        <w:spacing w:after="0" w:line="251" w:lineRule="auto"/>
        <w:rPr>
          <w:sz w:val="20"/>
          <w:szCs w:val="20"/>
          <w:color w:val="auto"/>
        </w:rPr>
      </w:pPr>
      <w:r>
        <w:rPr>
          <w:rFonts w:ascii="Courier New" w:cs="Courier New" w:eastAsia="Courier New" w:hAnsi="Courier New"/>
          <w:sz w:val="15"/>
          <w:szCs w:val="15"/>
          <w:color w:val="auto"/>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NOTES LEGEND]</w:t>
      </w:r>
    </w:p>
    <w:p>
      <w:pPr>
        <w:spacing w:after="0" w:line="185" w:lineRule="exact"/>
        <w:rPr>
          <w:sz w:val="20"/>
          <w:szCs w:val="20"/>
          <w:color w:val="auto"/>
        </w:rPr>
      </w:pPr>
    </w:p>
    <w:p>
      <w:pPr>
        <w:jc w:val="both"/>
        <w:ind w:left="820" w:right="3119"/>
        <w:spacing w:after="0" w:line="250" w:lineRule="auto"/>
        <w:rPr>
          <w:sz w:val="20"/>
          <w:szCs w:val="20"/>
          <w:color w:val="auto"/>
        </w:rPr>
      </w:pPr>
      <w:r>
        <w:rPr>
          <w:rFonts w:ascii="Courier New" w:cs="Courier New" w:eastAsia="Courier New" w:hAnsi="Courier New"/>
          <w:sz w:val="15"/>
          <w:szCs w:val="15"/>
          <w:color w:val="auto"/>
        </w:rPr>
        <w:t>THIS SECURITY (OR ITS PREDECESSOR) HAS NOT BEEN REGISTERED UNDER THE U.S. SECURITIES ACT OF 1933, AS AMENDED (THE "SECURITIES ACT"), AND,</w:t>
      </w:r>
    </w:p>
    <w:p>
      <w:pPr>
        <w:spacing w:after="0" w:line="1" w:lineRule="exact"/>
        <w:rPr>
          <w:sz w:val="20"/>
          <w:szCs w:val="20"/>
          <w:color w:val="auto"/>
        </w:rPr>
      </w:pPr>
    </w:p>
    <w:p>
      <w:pPr>
        <w:ind w:left="820" w:right="2839"/>
        <w:spacing w:after="0" w:line="251" w:lineRule="auto"/>
        <w:rPr>
          <w:sz w:val="20"/>
          <w:szCs w:val="20"/>
          <w:color w:val="auto"/>
        </w:rPr>
      </w:pPr>
      <w:r>
        <w:rPr>
          <w:rFonts w:ascii="Courier New" w:cs="Courier New" w:eastAsia="Courier New" w:hAnsi="Courier New"/>
          <w:sz w:val="15"/>
          <w:szCs w:val="15"/>
          <w:color w:val="auto"/>
        </w:rPr>
        <w:t>ACCORDINGLY, MAY NOT BE OFFERED, SOLD, PLEDGED OR OTHERWISE TRANSFERRED WITHIN THE UNITED STATES OR TO, OR FOR THE ACCOUNT OR BENEFIT OF, U.S. PERSONS, EXCEPT AS SET FORTH IN THE NEXT SENTENCE HEREOF. BY ITS ACQUISITION HEREOF OR OF A BENEFICIAL INTEREST HEREIN, THE HOLDER:</w:t>
      </w:r>
    </w:p>
    <w:p>
      <w:pPr>
        <w:spacing w:after="0" w:line="176" w:lineRule="exact"/>
        <w:rPr>
          <w:sz w:val="20"/>
          <w:szCs w:val="20"/>
          <w:color w:val="auto"/>
        </w:rPr>
      </w:pPr>
    </w:p>
    <w:p>
      <w:pPr>
        <w:ind w:left="1660" w:right="2839" w:hanging="835"/>
        <w:spacing w:after="0" w:line="250" w:lineRule="auto"/>
        <w:tabs>
          <w:tab w:leader="none" w:pos="16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THAT (A) IT IS A "QUALIFIED INSTITUTIONAL BUYER" (AS DEFINED IN RULE 144A UNDER THE SECURITIES ACT) (A "QIB") OR (B) IT HAS ACQUIRED THIS NOTE IN AN OFFSHORE TRANSACTION IN COMPLIANCE WITH REGULATION S UNDER THE SECURITIES ACT OR (C) IT IS AN "ACCREDITED INVESTOR" (AS DEFINED IN RULE 501(a)(1),</w:t>
      </w:r>
    </w:p>
    <w:p>
      <w:pPr>
        <w:spacing w:after="0" w:line="2" w:lineRule="exact"/>
        <w:rPr>
          <w:rFonts w:ascii="Courier New" w:cs="Courier New" w:eastAsia="Courier New" w:hAnsi="Courier New"/>
          <w:sz w:val="15"/>
          <w:szCs w:val="15"/>
          <w:color w:val="auto"/>
        </w:rPr>
      </w:pPr>
    </w:p>
    <w:p>
      <w:pPr>
        <w:ind w:left="16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(3) OR (7) UNDER THE SECURITIES ACT);</w:t>
      </w:r>
    </w:p>
    <w:p>
      <w:pPr>
        <w:spacing w:after="0" w:line="184" w:lineRule="exact"/>
        <w:rPr>
          <w:rFonts w:ascii="Courier New" w:cs="Courier New" w:eastAsia="Courier New" w:hAnsi="Courier New"/>
          <w:sz w:val="15"/>
          <w:szCs w:val="15"/>
          <w:color w:val="auto"/>
        </w:rPr>
      </w:pPr>
    </w:p>
    <w:p>
      <w:pPr>
        <w:ind w:left="1660" w:right="2839" w:hanging="835"/>
        <w:spacing w:after="0" w:line="250" w:lineRule="auto"/>
        <w:tabs>
          <w:tab w:leader="none" w:pos="16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IT WILL NOT RESELL OR OTHERWISE TRANSFER THIS SECURITY EXCEPT (A) TO THE COMPANY OR ANY OF ITS SUBSIDIARIES,</w:t>
      </w:r>
    </w:p>
    <w:p>
      <w:pPr>
        <w:ind w:left="16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95"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5"/>
          <w:szCs w:val="15"/>
          <w:color w:val="auto"/>
        </w:rPr>
        <w:t>64</w:t>
      </w:r>
    </w:p>
    <w:p>
      <w:pPr>
        <w:spacing w:after="0" w:line="8" w:lineRule="exact"/>
        <w:rPr>
          <w:sz w:val="20"/>
          <w:szCs w:val="20"/>
          <w:color w:val="auto"/>
        </w:rPr>
      </w:pPr>
    </w:p>
    <w:p>
      <w:pPr>
        <w:ind w:left="1380" w:right="2839"/>
        <w:spacing w:after="0" w:line="250" w:lineRule="auto"/>
        <w:rPr>
          <w:sz w:val="20"/>
          <w:szCs w:val="20"/>
          <w:color w:val="auto"/>
        </w:rPr>
      </w:pPr>
      <w:r>
        <w:rPr>
          <w:rFonts w:ascii="Courier New" w:cs="Courier New" w:eastAsia="Courier New" w:hAnsi="Courier New"/>
          <w:sz w:val="15"/>
          <w:szCs w:val="15"/>
          <w:color w:val="auto"/>
        </w:rPr>
        <w:t>TO A PERSON WHOM THE SELLER REASONABLY BELIEVES IS A QIB PURCHASING FOR ITS OWN ACCOUNT OR FOR THE ACCOUNT OF A QIB IN A TRANSACTION MEETING THE REQUIREMENTS OF RULE 144A, (C) IN AN OFFSHORE TRANSACTION MEETING THE REQUIREMENTS OF RULE 904 OF THE SECURITIES ACT, (E) TO AN INSTITUTIONAL "ACCREDITED INVESTOR" (AS DEFINED IN RULE 501(a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w:t>
      </w:r>
    </w:p>
    <w:p>
      <w:pPr>
        <w:spacing w:after="0" w:line="186" w:lineRule="exact"/>
        <w:rPr>
          <w:sz w:val="20"/>
          <w:szCs w:val="20"/>
          <w:color w:val="auto"/>
        </w:rPr>
      </w:pPr>
    </w:p>
    <w:p>
      <w:pPr>
        <w:ind w:left="1380" w:right="2839" w:hanging="835"/>
        <w:spacing w:after="0" w:line="252" w:lineRule="auto"/>
        <w:tabs>
          <w:tab w:leader="none" w:pos="13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IT WILL DELIVER TO EACH PERSON TO WHOM THIS NOTE OR AN INTEREST HEREIN IS TRANSFERRED A NOTICE SUBSTANTIALLY TO THE EFFECT OF THE LEGEND.</w:t>
      </w:r>
    </w:p>
    <w:p>
      <w:pPr>
        <w:spacing w:after="0" w:line="175" w:lineRule="exact"/>
        <w:rPr>
          <w:sz w:val="20"/>
          <w:szCs w:val="20"/>
          <w:color w:val="auto"/>
        </w:rPr>
      </w:pPr>
    </w:p>
    <w:p>
      <w:pPr>
        <w:ind w:left="540" w:right="2839"/>
        <w:spacing w:after="0" w:line="251" w:lineRule="auto"/>
        <w:rPr>
          <w:sz w:val="20"/>
          <w:szCs w:val="20"/>
          <w:color w:val="auto"/>
        </w:rPr>
      </w:pPr>
      <w:r>
        <w:rPr>
          <w:rFonts w:ascii="Courier New" w:cs="Courier New" w:eastAsia="Courier New" w:hAnsi="Courier New"/>
          <w:sz w:val="15"/>
          <w:szCs w:val="15"/>
          <w:color w:val="auto"/>
        </w:rPr>
        <w:t>AS USED HEREIN, THE TERMS "OFFSHORE TRANSACTION" AND "UNITED STATES" HAVE THE MEANINGS GIVEN TO THEM BY RULE 902 OF REGULATION S UNDER THE SECURITIES ACT. THE INDENTURE CONTAINS A PROVISION REQUIRING THE TRUSTEE TO REFUSE TO REGISTER ANY TRANSFER OF THIS NOTE IN VIOLATION OF THE FOREGOING.</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9939"/>
          </w:cols>
          <w:pgMar w:left="520" w:top="295"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65</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AKAMAI TECHNOLOGIES, INC.</w:t>
      </w:r>
    </w:p>
    <w:p>
      <w:pPr>
        <w:spacing w:after="0" w:line="18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5 -1/2% CONVERTIBLE SUBORDINATED NOTE DUE 2007</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RULE 144A GLOBAL NOTE</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R-1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No. _______</w:t>
      </w:r>
    </w:p>
    <w:p>
      <w:pPr>
        <w:spacing w:after="0" w:line="185" w:lineRule="exact"/>
        <w:rPr>
          <w:sz w:val="20"/>
          <w:szCs w:val="20"/>
          <w:color w:val="auto"/>
        </w:rPr>
      </w:pPr>
    </w:p>
    <w:p>
      <w:pPr>
        <w:sectPr>
          <w:pgSz w:w="11900" w:h="16838" w:orient="portrait"/>
          <w:cols w:equalWidth="0" w:num="2">
            <w:col w:w="5080" w:space="720"/>
            <w:col w:w="4419"/>
          </w:cols>
          <w:pgMar w:left="240" w:top="295" w:right="1440" w:bottom="1440" w:gutter="0" w:footer="0" w:header="0"/>
          <w:type w:val="continuous"/>
        </w:sectPr>
      </w:pPr>
    </w:p>
    <w:p>
      <w:pPr>
        <w:ind w:left="5800"/>
        <w:spacing w:after="0"/>
        <w:rPr>
          <w:sz w:val="20"/>
          <w:szCs w:val="20"/>
          <w:color w:val="auto"/>
        </w:rPr>
      </w:pPr>
      <w:r>
        <w:rPr>
          <w:rFonts w:ascii="Courier New" w:cs="Courier New" w:eastAsia="Courier New" w:hAnsi="Courier New"/>
          <w:sz w:val="15"/>
          <w:szCs w:val="15"/>
          <w:color w:val="auto"/>
        </w:rPr>
        <w:t>$________________</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Akamai Technologies, Inc., a Delaware corporation (hereinafter called</w:t>
      </w:r>
    </w:p>
    <w:p>
      <w:pPr>
        <w:sectPr>
          <w:pgSz w:w="11900" w:h="16838" w:orient="portrait"/>
          <w:cols w:equalWidth="0" w:num="1">
            <w:col w:w="10219"/>
          </w:cols>
          <w:pgMar w:left="240" w:top="295" w:right="1440" w:bottom="1440" w:gutter="0" w:footer="0" w:header="0"/>
          <w:type w:val="continuous"/>
        </w:sectPr>
      </w:pP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the "Company", which term includes any successors under the Indenture hereinafter referred to), for value received, hereby promises to pay to Cede &amp; Co., or registered assigns, the principal sum of ___________________ dollars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 on ______________, 2007.</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Interest Payment Dates: July 1 and January 1: commencing January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5" w:lineRule="exact"/>
        <w:rPr>
          <w:sz w:val="20"/>
          <w:szCs w:val="20"/>
          <w:color w:val="auto"/>
        </w:rPr>
      </w:pPr>
    </w:p>
    <w:p>
      <w:pPr>
        <w:ind w:left="820"/>
        <w:spacing w:after="0"/>
        <w:tabs>
          <w:tab w:leader="none" w:pos="2180" w:val="left"/>
        </w:tabs>
        <w:rPr>
          <w:sz w:val="20"/>
          <w:szCs w:val="20"/>
          <w:color w:val="auto"/>
        </w:rPr>
      </w:pPr>
      <w:r>
        <w:rPr>
          <w:rFonts w:ascii="Courier New" w:cs="Courier New" w:eastAsia="Courier New" w:hAnsi="Courier New"/>
          <w:sz w:val="15"/>
          <w:szCs w:val="15"/>
          <w:color w:val="auto"/>
        </w:rPr>
        <w:t>Record Dates:</w:t>
        <w:tab/>
        <w:t>June 15 and December 15.</w:t>
      </w:r>
    </w:p>
    <w:p>
      <w:pPr>
        <w:spacing w:after="0" w:line="18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Reference is made to the further provisions of this Note hereinafter set forth, which will, for all purposes, have the same effect as if set forth at this place.</w:t>
      </w:r>
    </w:p>
    <w:p>
      <w:pPr>
        <w:spacing w:after="0" w:line="175"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 under its corporate seal.</w:t>
      </w:r>
    </w:p>
    <w:p>
      <w:pPr>
        <w:spacing w:after="0" w:line="174"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AKAMAI TECHNOLOGIES,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a Delaware corporation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85" w:lineRule="exact"/>
        <w:rPr>
          <w:sz w:val="20"/>
          <w:szCs w:val="20"/>
          <w:color w:val="auto"/>
        </w:rPr>
      </w:pPr>
    </w:p>
    <w:p>
      <w:pPr>
        <w:ind w:left="4340"/>
        <w:spacing w:after="0"/>
        <w:tabs>
          <w:tab w:leader="none" w:pos="4780" w:val="left"/>
        </w:tabs>
        <w:rPr>
          <w:sz w:val="20"/>
          <w:szCs w:val="20"/>
          <w:color w:val="auto"/>
        </w:rPr>
      </w:pPr>
      <w:r>
        <w:rPr>
          <w:rFonts w:ascii="Courier New" w:cs="Courier New" w:eastAsia="Courier New" w:hAnsi="Courier New"/>
          <w:sz w:val="15"/>
          <w:szCs w:val="15"/>
          <w:color w:val="auto"/>
        </w:rPr>
        <w:t>By:</w:t>
        <w:tab/>
        <w:t>____________________________</w:t>
      </w:r>
    </w:p>
    <w:p>
      <w:pPr>
        <w:spacing w:after="0" w:line="8"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Title: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 ____________</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Secretary</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295" w:right="1440" w:bottom="1440" w:gutter="0" w:footer="0" w:header="0"/>
          <w:type w:val="continuous"/>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66</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one of the Notes described in the within-mentioned Indenture.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as Trustee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____________________________________</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Authorized Signatory</w:t>
      </w:r>
    </w:p>
    <w:p>
      <w:pPr>
        <w:spacing w:after="0" w:line="18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Dated:</w:t>
        <w:tab/>
        <w:t>___________________</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295" w:right="1440" w:bottom="1440" w:gutter="0" w:footer="0" w:header="0"/>
        </w:sectPr>
      </w:pPr>
    </w:p>
    <w:bookmarkStart w:id="112" w:name="page113"/>
    <w:bookmarkEnd w:id="112"/>
    <w:p>
      <w:pPr>
        <w:ind w:left="285"/>
        <w:spacing w:after="0"/>
        <w:rPr>
          <w:sz w:val="20"/>
          <w:szCs w:val="20"/>
          <w:color w:val="auto"/>
        </w:rPr>
      </w:pPr>
      <w:r>
        <w:rPr>
          <w:rFonts w:ascii="Courier New" w:cs="Courier New" w:eastAsia="Courier New" w:hAnsi="Courier New"/>
          <w:sz w:val="15"/>
          <w:szCs w:val="15"/>
          <w:color w:val="auto"/>
        </w:rPr>
        <w:t>67</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5 -1/2% CONVERTIBLE SUBORDINATED NOTE DUE 2007</w:t>
      </w:r>
    </w:p>
    <w:p>
      <w:pPr>
        <w:spacing w:after="0" w:line="185" w:lineRule="exact"/>
        <w:rPr>
          <w:sz w:val="20"/>
          <w:szCs w:val="20"/>
          <w:color w:val="auto"/>
        </w:rPr>
      </w:pPr>
    </w:p>
    <w:p>
      <w:pPr>
        <w:ind w:left="2765"/>
        <w:spacing w:after="0"/>
        <w:rPr>
          <w:sz w:val="20"/>
          <w:szCs w:val="20"/>
          <w:color w:val="auto"/>
        </w:rPr>
      </w:pPr>
      <w:r>
        <w:rPr>
          <w:rFonts w:ascii="Courier New" w:cs="Courier New" w:eastAsia="Courier New" w:hAnsi="Courier New"/>
          <w:sz w:val="15"/>
          <w:szCs w:val="15"/>
          <w:color w:val="auto"/>
        </w:rPr>
        <w:t>RULE 144A GLOBAL NOTE</w:t>
      </w:r>
    </w:p>
    <w:p>
      <w:pPr>
        <w:spacing w:after="0" w:line="185" w:lineRule="exact"/>
        <w:rPr>
          <w:sz w:val="20"/>
          <w:szCs w:val="20"/>
          <w:color w:val="auto"/>
        </w:rPr>
      </w:pPr>
    </w:p>
    <w:p>
      <w:pPr>
        <w:ind w:left="5" w:right="2839" w:firstLine="825"/>
        <w:spacing w:after="0" w:line="250" w:lineRule="auto"/>
        <w:tabs>
          <w:tab w:leader="none" w:pos="1113"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AKAMAI TECHNOLOGIES, INC., a Delaware corporation (the "COMPANY"), is the issuer of 5 -1/2% Convertible Subordinated Notes due 2007 (the "Notes"). The Notes will accrue interest at a rate of 5 -1/2% per annum. The Company promises to pay interest on the Notes in cash semiannually on each July 1 and January 1, commencing on January 1, 2001, to Holders of record on the immediately preceding June 15 and December 15, respectively. Interest on the Notes will accrue from the most recent date to which interest has been paid, or if no interest has been paid, from June 20, 2000. Interest will be computed on the basis of a 360-day year of twelve 30-day months. The Company will pay interest on overdue principal at the interest rate borne by the Notes, compounded semiannually, and, to the extent permitted by law, it shall pay interest on overdue installments of interest (without regard to any applicable grace period) at the same interest rate compounded semiannually.</w:t>
      </w:r>
    </w:p>
    <w:p>
      <w:pPr>
        <w:spacing w:after="0" w:line="183" w:lineRule="exact"/>
        <w:rPr>
          <w:rFonts w:ascii="Courier New" w:cs="Courier New" w:eastAsia="Courier New" w:hAnsi="Courier New"/>
          <w:sz w:val="15"/>
          <w:szCs w:val="15"/>
          <w:color w:val="auto"/>
        </w:rPr>
      </w:pPr>
    </w:p>
    <w:p>
      <w:pPr>
        <w:ind w:left="5" w:right="2839" w:firstLine="825"/>
        <w:spacing w:after="0" w:line="250" w:lineRule="auto"/>
        <w:tabs>
          <w:tab w:leader="none" w:pos="1113"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The holder of this Note (and the Common Stock issuable upon conversion hereof) is entitled to the benefits of a Registration Rights Agreement, dated as of June 20, 2000, among the Company and the Initial Purchasers (the "REGISTRATION RIGHTS AGREEMENT"). Pursuant to the Registration Rights Agreement the Company has agreed for the benefit of the holders of Transfer Restricted Securities, that (i) it will, at its cost, within 90 days after the closing of the sale of the Notes (the "CLOSING"), file a shelf registration statement (the "SHELF REGISTRATION STATEMENT") with the Securities and Exchange Commission (the "COMMISSION") with respect to resales of the Notes and the Common Stock issuable upon conversion thereof, (ii) it will use its reasonable best efforts to cause such Shelf Registration Statement to be declared effective within 180 days after the Closing, and (iii) it will use its reasonable best efforts to keep such Shelf Registration Statement continuously effective under the Securities Act, subject to certain exceptions specified in the Registration Rights Agreement, until the second anniversary of the date of the Closing. If (a) the Company fails to file the Shelf Registration Statement required by the Registration Rights Agreement on or before the date specified above for such filing, (b) such Shelf Registration Statement is not declared effective by the Commission on or prior to the date specified above for such effectiveness, or (c) the Shelf Registration Statement is declared effective but thereafter ceases to be effective or useable in connection with resales of Transfer Restricted Securities during the periods specified in the Registration Rights Agreement without being succeeded immediately by a post-effective amendment to such Shelf Registration Statement that cures such failure and is itself declared effective immediately (each such event referred to in clauses</w:t>
      </w:r>
    </w:p>
    <w:p>
      <w:pPr>
        <w:spacing w:after="0" w:line="10"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(c) above a "REGISTRATION DEFAULT"), then the Company will pay</w:t>
      </w:r>
    </w:p>
    <w:p>
      <w:pPr>
        <w:spacing w:after="0" w:line="7" w:lineRule="exact"/>
        <w:rPr>
          <w:rFonts w:ascii="Courier New" w:cs="Courier New" w:eastAsia="Courier New" w:hAnsi="Courier New"/>
          <w:sz w:val="15"/>
          <w:szCs w:val="15"/>
          <w:color w:val="auto"/>
        </w:rPr>
      </w:pPr>
    </w:p>
    <w:p>
      <w:pPr>
        <w:ind w:left="5"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special interest to each Holder of Transfer Restricted Securities as described below. Notwithstanding the foregoing, as set forth in the Registration Rights Agreement, the Company will be permitted to suspend use of the prospectus that is part of the Shelf Registration Statement during certain periods of time and in certain circumstances relating to pending corporate developments and public filings with the SEC and similar events, and such a suspension shall not be deemed a Registration Default provided it does not last in excess of 60 days in the aggregate during any 12-month period. With respect to the first 90-day period immediately following the occurrence of a Registration Default, the Company shall pay special interest to each Holder of Transfer Restricted Securities in an amount equal to an increase in the annual interest rate on the Notes of 0.25%</w:t>
      </w:r>
    </w:p>
    <w:p>
      <w:pPr>
        <w:spacing w:after="0" w:line="183"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25"/>
          </w:cols>
          <w:pgMar w:left="235" w:top="295" w:right="1440" w:bottom="1440" w:gutter="0" w:footer="0" w:header="0"/>
        </w:sectPr>
      </w:pPr>
    </w:p>
    <w:bookmarkStart w:id="113" w:name="page114"/>
    <w:bookmarkEnd w:id="113"/>
    <w:p>
      <w:pPr>
        <w:ind w:left="285"/>
        <w:spacing w:after="0"/>
        <w:rPr>
          <w:sz w:val="20"/>
          <w:szCs w:val="20"/>
          <w:color w:val="auto"/>
        </w:rPr>
      </w:pPr>
      <w:r>
        <w:rPr>
          <w:rFonts w:ascii="Courier New" w:cs="Courier New" w:eastAsia="Courier New" w:hAnsi="Courier New"/>
          <w:sz w:val="15"/>
          <w:szCs w:val="15"/>
          <w:color w:val="auto"/>
        </w:rPr>
        <w:t>68</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("SPECIAL INTEREST") and with respect to each subsequent 90-day period, additional amounts equal to an increase in the annual interest rate on the Notes of 0.25% until all Registration Defaults have been cured, up to a maximum increase in the annual interest rate on the Notes equal to 1.0%. In the event that this Note, or any portion thereof, shall have been converted into shares of Common Stock pursuant to Section 12 hereof, the amount payable under this Section 2 per share of Common Stock so converted shall be determined by dividing</w:t>
      </w:r>
    </w:p>
    <w:p>
      <w:pPr>
        <w:spacing w:after="0" w:line="3" w:lineRule="exact"/>
        <w:rPr>
          <w:sz w:val="20"/>
          <w:szCs w:val="20"/>
          <w:color w:val="auto"/>
        </w:rPr>
      </w:pPr>
    </w:p>
    <w:p>
      <w:pPr>
        <w:ind w:left="5" w:right="2839" w:hanging="5"/>
        <w:spacing w:after="0" w:line="250" w:lineRule="auto"/>
        <w:tabs>
          <w:tab w:leader="none" w:pos="37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that would have been payable hereunder on the aggregate principal amount so converted by (y) the number of shares of Common Stock issued upon such conversion. All accrued Special Interest shall be paid by the Company on each Interest Payment Date for which Special Interest is owed to the holders of Transfer Restricted Securities by wire transfer of immediately available funds or by federal funds check. Following the cure of all Registration Defaults, the application of Special Interest will cease. THE PROVISIONS OF THIS SECTION 2 SHALL SURVIVE ANY CONVERSION OF THE NOTES INTO SHARES OF COMMON STOCK PURSUANT TO SECTION 12 HEREOF, AND MAY BE ENFORCED BY THE HOLDER OF COMMON STOCK ISSUED UPON CONVERSION OF THIS NOTE.</w:t>
      </w:r>
    </w:p>
    <w:p>
      <w:pPr>
        <w:spacing w:after="0" w:line="181" w:lineRule="exact"/>
        <w:rPr>
          <w:rFonts w:ascii="Courier New" w:cs="Courier New" w:eastAsia="Courier New" w:hAnsi="Courier New"/>
          <w:sz w:val="15"/>
          <w:szCs w:val="15"/>
          <w:color w:val="auto"/>
        </w:rPr>
      </w:pPr>
    </w:p>
    <w:p>
      <w:pPr>
        <w:ind w:left="5" w:right="2839" w:firstLine="825"/>
        <w:spacing w:after="0" w:line="251" w:lineRule="auto"/>
        <w:tabs>
          <w:tab w:leader="none" w:pos="1113"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All payments made by the Company on this Note shall be made without deduction or withholding for or on account of, any and all present or future taxes, duties, assessments, or governmental charges of whatever nature unless the deduction or withholding of such taxes, duties, assessments or government charges is then required by law.</w:t>
      </w:r>
    </w:p>
    <w:p>
      <w:pPr>
        <w:spacing w:after="0" w:line="176" w:lineRule="exact"/>
        <w:rPr>
          <w:rFonts w:ascii="Courier New" w:cs="Courier New" w:eastAsia="Courier New" w:hAnsi="Courier New"/>
          <w:sz w:val="15"/>
          <w:szCs w:val="15"/>
          <w:color w:val="auto"/>
        </w:rPr>
      </w:pPr>
    </w:p>
    <w:p>
      <w:pPr>
        <w:ind w:left="5" w:right="2839" w:firstLine="825"/>
        <w:spacing w:after="0" w:line="250" w:lineRule="auto"/>
        <w:tabs>
          <w:tab w:leader="none" w:pos="1113"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Company will pay interest on the Notes (except defaulted interest) to the Persons who are registered Holders of Notes at the close of business on the record date for the next interest payment date even though Notes are canceled after the record date and on or before the interest payment date. Holders must surrender Notes to a Paying Agent to collect principal and premium payments. The Company will pay principal, premium, if any, interest, and Special Interest, if any, in money of the United States that at the time of payment is legal tender for payment of public and private debts. However, the Company may pay principal, premium, if any, interest and Special Interest, if any, by check payable in such money. It may mail an interest or Special Interest check to a Holder's registered address. Upon the request of a Holder who holds an aggregate principal amount of at least $5.0 million, principal, premium, if any, interest, and Special Interest, if any, shall be paid by wire transfer of immediately available funds to an account previously specified in writing by such Holder to the Company and the Trustee.</w:t>
      </w:r>
    </w:p>
    <w:p>
      <w:pPr>
        <w:spacing w:after="0" w:line="184" w:lineRule="exact"/>
        <w:rPr>
          <w:rFonts w:ascii="Courier New" w:cs="Courier New" w:eastAsia="Courier New" w:hAnsi="Courier New"/>
          <w:sz w:val="15"/>
          <w:szCs w:val="15"/>
          <w:color w:val="auto"/>
        </w:rPr>
      </w:pPr>
    </w:p>
    <w:p>
      <w:pPr>
        <w:ind w:left="5" w:right="2839" w:firstLine="825"/>
        <w:spacing w:after="0" w:line="251" w:lineRule="auto"/>
        <w:tabs>
          <w:tab w:leader="none" w:pos="1113"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AGENT, CONVERSION AGENT AND REGISTRAR. The Trustee will act as Paying Agent, Conversion Agent and Registrar and will maintain an office or agency in the City of New York, New York at which the notes may be presented for payment, transfer or exchange. The Company may change any Paying Agent, Conversion Agent or Registrar without prior notice. The Company or any of its Affiliates may act in any such capacity.</w:t>
      </w:r>
    </w:p>
    <w:p>
      <w:pPr>
        <w:spacing w:after="0" w:line="175" w:lineRule="exact"/>
        <w:rPr>
          <w:rFonts w:ascii="Courier New" w:cs="Courier New" w:eastAsia="Courier New" w:hAnsi="Courier New"/>
          <w:sz w:val="15"/>
          <w:szCs w:val="15"/>
          <w:color w:val="auto"/>
        </w:rPr>
      </w:pPr>
    </w:p>
    <w:p>
      <w:pPr>
        <w:ind w:left="5" w:right="2839" w:firstLine="825"/>
        <w:spacing w:after="0" w:line="250" w:lineRule="auto"/>
        <w:tabs>
          <w:tab w:leader="none" w:pos="1113"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The Company issued the Notes under an Indenture, dated as of June 20, 2000 (the "INDENTURE"), between the Company and State Street Bank and Trust Company, as Trustee. Capitalized terms herein are used as defined in the Indenture unless otherwise defined herein. The terms of the Notes include those stated in the Indenture and those made part of the Indenture by the Trust Indenture Act of 1939 (15 U.S. Code Sections 77aaa-77bbbb) (the "TIA") as in effect on the date of the Indenture. The Notes are subject to, and qualified by, all such terms, certain of which are summarized hereon, and Holders are referred to the Indenture and such Act for a statement of such terms. The Notes are unsecured general obligations of the Company limited to</w:t>
      </w:r>
    </w:p>
    <w:p>
      <w:pPr>
        <w:spacing w:after="0" w:line="18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25"/>
          </w:cols>
          <w:pgMar w:left="235" w:top="295"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69</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$300,000,000 in aggregate principal amount and subordinated in right of payment to all existing and future Senior Debt of the Company.</w:t>
      </w:r>
    </w:p>
    <w:p>
      <w:pPr>
        <w:spacing w:after="0" w:line="174" w:lineRule="exact"/>
        <w:rPr>
          <w:sz w:val="20"/>
          <w:szCs w:val="20"/>
          <w:color w:val="auto"/>
        </w:rPr>
      </w:pPr>
    </w:p>
    <w:p>
      <w:pPr>
        <w:ind w:right="2839" w:firstLine="825"/>
        <w:spacing w:after="0" w:line="250" w:lineRule="auto"/>
        <w:tabs>
          <w:tab w:leader="none" w:pos="110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At any time on or after July 3, 2003 the Company may redeem any portion of the Notes, in whole or in part, upon not less than 30 nor more than 60 days' notice, at the redemption prices (expressed as percentages of principal amount thereof), together with accrued and unpaid interest and Special Interest thereon to, but excluding, the applicable redemption date. If redeemed during the period beginning July 3, 2003 and ending on June 30, 2004, the redemption price shall be 103.143%, and if redeemed during the 12-month period commencing on July 1 of each of the following years, up to the maturity date the redemption price shall be the corresponding percentage of principal set forth below:</w:t>
      </w:r>
    </w:p>
    <w:p>
      <w:pPr>
        <w:spacing w:after="0" w:line="200" w:lineRule="exact"/>
        <w:rPr>
          <w:sz w:val="20"/>
          <w:szCs w:val="20"/>
          <w:color w:val="auto"/>
        </w:rPr>
      </w:pPr>
    </w:p>
    <w:p>
      <w:pPr>
        <w:spacing w:after="0" w:line="337" w:lineRule="exact"/>
        <w:rPr>
          <w:sz w:val="20"/>
          <w:szCs w:val="20"/>
          <w:color w:val="auto"/>
        </w:rPr>
      </w:pPr>
    </w:p>
    <w:tbl>
      <w:tblPr>
        <w:tblLayout w:type="fixed"/>
        <w:tblInd w:w="820" w:type="dxa"/>
        <w:tblCellMar>
          <w:top w:w="0" w:type="dxa"/>
          <w:left w:w="0" w:type="dxa"/>
          <w:bottom w:w="0" w:type="dxa"/>
          <w:right w:w="0" w:type="dxa"/>
        </w:tblCellMar>
      </w:tblP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520" w:type="dxa"/>
            <w:vAlign w:val="bottom"/>
          </w:tcPr>
          <w:p>
            <w:pPr>
              <w:spacing w:after="0"/>
              <w:rPr>
                <w:sz w:val="14"/>
                <w:szCs w:val="14"/>
                <w:color w:val="auto"/>
              </w:rPr>
            </w:pP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Redemption Price</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July 1, 2004 - June 30, 2005</w:t>
            </w:r>
          </w:p>
        </w:tc>
        <w:tc>
          <w:tcPr>
            <w:tcW w:w="5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102.357%</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July 1, 2005</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 June 30, 2006</w:t>
            </w:r>
          </w:p>
        </w:tc>
        <w:tc>
          <w:tcPr>
            <w:tcW w:w="5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101.571%</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July 1, 2006</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 June 30, 2007</w:t>
            </w:r>
          </w:p>
        </w:tc>
        <w:tc>
          <w:tcPr>
            <w:tcW w:w="5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100.786%</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July 1, 2007</w:t>
            </w:r>
          </w:p>
        </w:tc>
        <w:tc>
          <w:tcPr>
            <w:tcW w:w="1520" w:type="dxa"/>
            <w:vAlign w:val="bottom"/>
          </w:tcPr>
          <w:p>
            <w:pPr>
              <w:ind w:left="40"/>
              <w:spacing w:after="0"/>
              <w:rPr>
                <w:sz w:val="20"/>
                <w:szCs w:val="20"/>
                <w:color w:val="auto"/>
              </w:rPr>
            </w:pPr>
            <w:r>
              <w:rPr>
                <w:rFonts w:ascii="Courier New" w:cs="Courier New" w:eastAsia="Courier New" w:hAnsi="Courier New"/>
                <w:sz w:val="5"/>
                <w:szCs w:val="5"/>
                <w:color w:val="auto"/>
                <w:w w:val="85"/>
              </w:rPr>
              <w:t>.........................................................</w:t>
            </w:r>
          </w:p>
        </w:tc>
        <w:tc>
          <w:tcPr>
            <w:tcW w:w="50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100.000%</w:t>
            </w:r>
          </w:p>
        </w:tc>
      </w:tr>
    </w:tbl>
    <w:p>
      <w:pPr>
        <w:spacing w:after="0" w:line="360"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 the event the Company redeems less than all of the outstanding Notes, the Notes to be redeemed shall be selected by the Trustee in accordance with Section 3.02 of the Indenture. In the event a portion of an outstanding Note is selected for redemption and such Note is converted in part after such selection, the converted portion of such Note shall be deemed (so far as may be) to be the portion to be selected for redemption in accordance with Section 3.02 of the Indenture. The Company may not give notice of any redemption if the Company has defaulted in payment of interest and the default is continuing.</w:t>
      </w:r>
    </w:p>
    <w:p>
      <w:pPr>
        <w:spacing w:after="0" w:line="175" w:lineRule="exact"/>
        <w:rPr>
          <w:sz w:val="20"/>
          <w:szCs w:val="20"/>
          <w:color w:val="auto"/>
        </w:rPr>
      </w:pPr>
    </w:p>
    <w:p>
      <w:pPr>
        <w:ind w:right="3019" w:firstLine="825"/>
        <w:spacing w:after="0" w:line="251" w:lineRule="auto"/>
        <w:tabs>
          <w:tab w:leader="none" w:pos="110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 Notice of redemption will be mailed at least 30 days but not more than 60 days before the redemption date to each Holder of the Notes to be redeemed at his address of record. The Notes in denominations larger than $1,000 may be redeemed in part but only in integral multiples of $1,000. In the event of a redemption of less than all of the Notes, the Notes will be chosen for redemption by the Trustee in accordance with the Indenture. On and after the redemption date, interest ceases to accrue on the Notes or portions of them called for redemption.</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If this Note is redeemed subsequent to a record date with respect to any interest payment date specified above and on or prior to such interest payment date, then any accrued interest will be paid to the Person in whose name this Note is registered at the close of business on such record date.</w:t>
      </w:r>
    </w:p>
    <w:p>
      <w:pPr>
        <w:spacing w:after="0" w:line="176" w:lineRule="exact"/>
        <w:rPr>
          <w:sz w:val="20"/>
          <w:szCs w:val="20"/>
          <w:color w:val="auto"/>
        </w:rPr>
      </w:pPr>
    </w:p>
    <w:p>
      <w:pPr>
        <w:ind w:right="2839" w:firstLine="825"/>
        <w:spacing w:after="0" w:line="252" w:lineRule="auto"/>
        <w:tabs>
          <w:tab w:leader="none" w:pos="110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REDEMPTION. The Company will not be required to make mandatory redemption or repurchase payments with respect to the Notes. There are no sinking fund payments with respect to the Notes.</w:t>
      </w:r>
    </w:p>
    <w:p>
      <w:pPr>
        <w:spacing w:after="0" w:line="174" w:lineRule="exact"/>
        <w:rPr>
          <w:rFonts w:ascii="Courier New" w:cs="Courier New" w:eastAsia="Courier New" w:hAnsi="Courier New"/>
          <w:sz w:val="15"/>
          <w:szCs w:val="15"/>
          <w:color w:val="auto"/>
        </w:rPr>
      </w:pPr>
    </w:p>
    <w:p>
      <w:pPr>
        <w:ind w:right="2939" w:firstLine="825"/>
        <w:spacing w:after="0" w:line="251" w:lineRule="auto"/>
        <w:tabs>
          <w:tab w:leader="none" w:pos="12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AT OPTION OF HOLDER. If there is a Fundamental Change, the Company shall be required to offer to purchase on the Purchase Date all outstanding Notes at a purchase price equal to 100% of the aggregate principal amount thereof, plus accrued and unpaid interest and Special Interest, if any, to the Purchase Date. Holders of Notes that are subject to an offer to purchase will receive a Fundamental Change Offer from the Company in accordance with</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295"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70</w:t>
      </w:r>
    </w:p>
    <w:p>
      <w:pPr>
        <w:spacing w:after="0" w:line="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Section 3.09 of the Indenture and may elect to have such Notes or portions thereof in authorized denominations purchased by completing the form entitled "Option of Holder to Elect Purchase" appearing below.</w:t>
      </w:r>
    </w:p>
    <w:p>
      <w:pPr>
        <w:spacing w:after="0" w:line="175" w:lineRule="exact"/>
        <w:rPr>
          <w:sz w:val="20"/>
          <w:szCs w:val="20"/>
          <w:color w:val="auto"/>
        </w:rPr>
      </w:pPr>
    </w:p>
    <w:p>
      <w:pPr>
        <w:ind w:right="2839" w:firstLine="825"/>
        <w:spacing w:after="0" w:line="251" w:lineRule="auto"/>
        <w:tabs>
          <w:tab w:leader="none" w:pos="12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The payment of the principal of, interest on, Special Interest or any other amounts due on the Notes is subordinated in right of payment to all existing and future Senior Debt of the Company, as described in the Indenture. Each Holder, by accepting a Note, agrees to such subordination and authorizes and directs the Trustee on its behalf to take such action as may be necessary or appropriate to effectuate the subordination so provided and appoints the Trustee as its attorney-in-fact for such purpose.</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2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holder of any Note has the right, exercisable at any time following the Issuance Date and prior to the close of business (New York time) on the date of the Note's maturity, to convert the principal amount thereof (or any portion thereof that is an integral multiple of $1,000) into shares of Common Stock at the initial Conversion Price of $115.47 per share, subject to adjustment under certain circumstances as set forth in the Indenture, except that if a Note is called for redemption, the conversion right will terminate at the close of business on the Business Day immediately preceding the date fixed for redemption.</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To convert a Note, a holder must (1) complete and sign a conversion notice substantially in the form set forth below, (2) surrender the Note to a Conversion Agent, (3) furnish appropriate endorsements or transfer documents if required by the Registrar or Conversion Agent and (4) pay any transfer or similar tax, if required. No payment or adjustment will be made for accrued and unpaid interest on a converted Note, but if any holder surrenders a Note for conversion after the close of business on the record date for the payment of an installment of interest and prior to the opening of business on the next interest payment date, then, notwithstanding such conversion, the interest payable on such interest payment date shall be paid to the holder of such Note on such record date. Any Notes that are, however, delivered to the Company for conversion after any record date but before the next interest payment date must, except as described in the next sentence, be accompanied by a payment equal to the interest payable on such interest payment date on the principal amount of such Notes being converted. Payments to the Company described in the preceding sentence shall not be required if, during that period between a record date and the next interest payment date, a conversion occurs on or after the date that the Company has issued a redemption notice and prior to the date of redemption stated in such notice. If any Notes are converted after an interest payment date but on or before the next record date, no interest will be paid on those Notes. The number of shares issuable upon conversion of a Note is determined by dividing the principal amount of the Note converted by the Conversion Price in effect on the Conversion Date. No fractional shares will be issued upon conversion but a cash adjustment will be made for any fractional interest.</w:t>
      </w:r>
    </w:p>
    <w:p>
      <w:pPr>
        <w:spacing w:after="0" w:line="188"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A note in respect of which a holder has delivered an "Option of Holder to Elect Purchase" form appearing below exercising the option of such holder to require the Company to purchase such Note may be converted only if the notice of exercise is withdrawn as provided above and in accordance with the terms of the Indenture. The above description of conversion of the Notes is qualified by reference to, and is subject in its entirety by, the more complete description thereof contained in the Indenture.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295"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71</w:t>
      </w:r>
    </w:p>
    <w:p>
      <w:pPr>
        <w:spacing w:after="0" w:line="8" w:lineRule="exact"/>
        <w:rPr>
          <w:sz w:val="20"/>
          <w:szCs w:val="20"/>
          <w:color w:val="auto"/>
        </w:rPr>
      </w:pPr>
    </w:p>
    <w:p>
      <w:pPr>
        <w:ind w:left="-280" w:right="2939" w:firstLine="825"/>
        <w:spacing w:after="0" w:line="250" w:lineRule="auto"/>
        <w:tabs>
          <w:tab w:leader="none" w:pos="9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TRANSFER, EXCHANGE. The notes are in registered form, without coupons, in denominations of $1,000 and integral multiples of $1,000. The transfer of Notes may be registered, and Notes may be exchanged, as provided in the Indenture. The Registrar may require a Holder, among other things, to furnish appropriate endorsements and transfer documents and to pay any taxes and fees required by law or permitted by the Indenture. The Registrar need not exchange or register the transfer of any Note or portion of a Note selected for redemption (except the unredeemed portion of any Note being redeemed in part). Also, it need not exchange or register the transfer of any Note for a period of 15 days before a selection of Notes to be redeemed.</w:t>
      </w:r>
    </w:p>
    <w:p>
      <w:pPr>
        <w:spacing w:after="0" w:line="181" w:lineRule="exact"/>
        <w:rPr>
          <w:rFonts w:ascii="Courier New" w:cs="Courier New" w:eastAsia="Courier New" w:hAnsi="Courier New"/>
          <w:sz w:val="15"/>
          <w:szCs w:val="15"/>
          <w:color w:val="auto"/>
        </w:rPr>
      </w:pPr>
    </w:p>
    <w:p>
      <w:pPr>
        <w:ind w:left="-280" w:right="3399" w:firstLine="825"/>
        <w:spacing w:after="0" w:line="253" w:lineRule="auto"/>
        <w:tabs>
          <w:tab w:leader="none" w:pos="9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DEEMED OWNERS. The registered Holder of a Note may be treated as its owner for all purposes.</w:t>
      </w:r>
    </w:p>
    <w:p>
      <w:pPr>
        <w:spacing w:after="0" w:line="174" w:lineRule="exact"/>
        <w:rPr>
          <w:rFonts w:ascii="Courier New" w:cs="Courier New" w:eastAsia="Courier New" w:hAnsi="Courier New"/>
          <w:sz w:val="15"/>
          <w:szCs w:val="15"/>
          <w:color w:val="auto"/>
        </w:rPr>
      </w:pPr>
    </w:p>
    <w:p>
      <w:pPr>
        <w:ind w:left="-280" w:right="2839" w:firstLine="825"/>
        <w:spacing w:after="0" w:line="251" w:lineRule="auto"/>
        <w:tabs>
          <w:tab w:leader="none" w:pos="9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UNCLAIMED MONEY. If money for the payment of principal or interest remains unclaimed for two years, the Trustee and the Paying Agent shall pay the money back to the Company at its written request. After that, Holders of Notes entitled to the money must look to the Company for payment unless an abandoned property law designates another Person and all liability of the Trustee and such Paying Agent with respect to such money shall cease.</w:t>
      </w:r>
    </w:p>
    <w:p>
      <w:pPr>
        <w:spacing w:after="0" w:line="175" w:lineRule="exact"/>
        <w:rPr>
          <w:rFonts w:ascii="Courier New" w:cs="Courier New" w:eastAsia="Courier New" w:hAnsi="Courier New"/>
          <w:sz w:val="15"/>
          <w:szCs w:val="15"/>
          <w:color w:val="auto"/>
        </w:rPr>
      </w:pPr>
    </w:p>
    <w:p>
      <w:pPr>
        <w:ind w:left="-280" w:right="2839" w:firstLine="825"/>
        <w:spacing w:after="0" w:line="250" w:lineRule="auto"/>
        <w:tabs>
          <w:tab w:leader="none" w:pos="9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AND REMEDIES. The Notes shall have the Events of Default set forth in Section 8.01 of the Indenture. Subject to certain limitations in the Indenture, if an Event of Default occurs and is continuing, the Trustee by notice to the Company or the Holders of at least 25% in aggregate principal amount of the then outstanding Notes by notice to the Company and the Trustee may declare all the Notes to be due and payable immediately, except that in the case of an Event of Default arising from certain events of bankruptcy, insolvency or reorganization, all unpaid principal and interest accrued on the Notes shall become due and payable immediately without further action or notice. The Holders of a majority in principal amount of the Notes then outstanding by written notice to the Trustee may rescind an acceleration and its consequences if the rescission would not conflict with any judgment or decree and if all existing Events of Default have been cured or waived except nonpayment of principal or interest that has become due solely because of the acceleration. Holders may not enforce the Indenture or the Notes except as provided in the Indenture. Subject to certain limitations, Holders of a majority in principal amount of the then outstanding Notes issued under the Indenture may direct the Trustee in its exercise of any trust or power. The Company must furnish annually compliance certificates to the Trustee. The above description of Events of Default and remedies is qualified by reference, and subject in its entirety, to the more complete description thereof contained in the Indenture.</w:t>
      </w:r>
    </w:p>
    <w:p>
      <w:pPr>
        <w:spacing w:after="0" w:line="186" w:lineRule="exact"/>
        <w:rPr>
          <w:rFonts w:ascii="Courier New" w:cs="Courier New" w:eastAsia="Courier New" w:hAnsi="Courier New"/>
          <w:sz w:val="15"/>
          <w:szCs w:val="15"/>
          <w:color w:val="auto"/>
        </w:rPr>
      </w:pPr>
    </w:p>
    <w:p>
      <w:pPr>
        <w:ind w:left="-280" w:right="2839" w:firstLine="825"/>
        <w:spacing w:after="0" w:line="250" w:lineRule="auto"/>
        <w:tabs>
          <w:tab w:leader="none" w:pos="9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SUPPLEMENTS AND WAIVERS. Subject to certain exceptions, the Indenture or the Notes may be amended or supplemented with the consent of the Holders of at least a majority in principal amount of the then outstanding Notes (including consents obtained in connection with a tender offer or exchange offer for Notes), and any existing default may be waived with the consent of the Holders of a majority in principal amount of the then outstanding Notes. Without the consent of any Holder, the Indenture or the Notes may be amended, among other reasons, to cure any ambiguity, defect or inconsistency, to provide for uncertificated Notes in addition to or in place of certificated Notes, to provide for assumption of the Company's obligations to Holders, to make any change that does not adversely affect the rights of any Holder or to qualify the Indenture under the TIA or to comply with the requirements of the SEC in order to maintain the qualification of the Indenture under the TIA.</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9939"/>
          </w:cols>
          <w:pgMar w:left="520" w:top="295"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72</w:t>
      </w:r>
    </w:p>
    <w:p>
      <w:pPr>
        <w:spacing w:after="0" w:line="8" w:lineRule="exact"/>
        <w:rPr>
          <w:sz w:val="20"/>
          <w:szCs w:val="20"/>
          <w:color w:val="auto"/>
        </w:rPr>
      </w:pPr>
    </w:p>
    <w:p>
      <w:pPr>
        <w:ind w:right="2939" w:firstLine="825"/>
        <w:spacing w:after="0" w:line="251" w:lineRule="auto"/>
        <w:tabs>
          <w:tab w:leader="none" w:pos="12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DEALINGS WITH THE COMPANY. The Trustee, in its individual or any other capacity may become the owner or pledgee of the Notes and may otherwise deal with the Company or an Affiliate with the same rights it would have, as if it were not Trustee, subject to certain limitations provided for in the Indenture and in the TIA. Any Agent may do the same with like rights.</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2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AGAINST OTHERS. A director, officer, employee, incorporator or shareholder of the Company, as such, shall not have any liability for any obligations of the Company under the Notes or the Indenture or for any claim based on, in respect of or by reason of such obligations or their creation. Each Holder of the Notes by accepting a Note waives and releases all such liability. The waiver and release are part of the consideration for the issue of the Notes.</w:t>
      </w:r>
    </w:p>
    <w:p>
      <w:pPr>
        <w:spacing w:after="0" w:line="175" w:lineRule="exact"/>
        <w:rPr>
          <w:rFonts w:ascii="Courier New" w:cs="Courier New" w:eastAsia="Courier New" w:hAnsi="Courier New"/>
          <w:sz w:val="15"/>
          <w:szCs w:val="15"/>
          <w:color w:val="auto"/>
        </w:rPr>
      </w:pPr>
    </w:p>
    <w:p>
      <w:pPr>
        <w:ind w:right="2939" w:firstLine="825"/>
        <w:spacing w:after="0" w:line="252" w:lineRule="auto"/>
        <w:tabs>
          <w:tab w:leader="none" w:pos="12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INTERNAL LAWS OF THE STATE OF NEW YORK SHALL GOVERN THE INDENTURE AND THE NOTES WITHOUT REGARD TO CONFLICT OF LAW PROVISIONS THEREOF.</w:t>
      </w:r>
    </w:p>
    <w:p>
      <w:pPr>
        <w:spacing w:after="0" w:line="174" w:lineRule="exact"/>
        <w:rPr>
          <w:rFonts w:ascii="Courier New" w:cs="Courier New" w:eastAsia="Courier New" w:hAnsi="Courier New"/>
          <w:sz w:val="15"/>
          <w:szCs w:val="15"/>
          <w:color w:val="auto"/>
        </w:rPr>
      </w:pPr>
    </w:p>
    <w:p>
      <w:pPr>
        <w:ind w:right="2839" w:firstLine="825"/>
        <w:spacing w:after="0" w:line="252" w:lineRule="auto"/>
        <w:tabs>
          <w:tab w:leader="none" w:pos="12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AUTHENTICATION. The Notes shall not be valid until authenticated by the manual signature of an authorized officer of the Trustee or an authenticating agent.</w:t>
      </w:r>
    </w:p>
    <w:p>
      <w:pPr>
        <w:spacing w:after="0" w:line="174" w:lineRule="exact"/>
        <w:rPr>
          <w:rFonts w:ascii="Courier New" w:cs="Courier New" w:eastAsia="Courier New" w:hAnsi="Courier New"/>
          <w:sz w:val="15"/>
          <w:szCs w:val="15"/>
          <w:color w:val="auto"/>
        </w:rPr>
      </w:pPr>
    </w:p>
    <w:p>
      <w:pPr>
        <w:ind w:right="2839" w:firstLine="825"/>
        <w:spacing w:after="0" w:line="252" w:lineRule="auto"/>
        <w:tabs>
          <w:tab w:leader="none" w:pos="12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351"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The Company will furnish to any Holder of the Notes upon written request and without charge a copy of the Indenture. Request may be made to:</w:t>
      </w:r>
    </w:p>
    <w:p>
      <w:pPr>
        <w:spacing w:after="0" w:line="174"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Akamai Technologies,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500 Technology Square</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Cambridge, Massachusetts 02139</w:t>
      </w:r>
    </w:p>
    <w:p>
      <w:pPr>
        <w:spacing w:after="0" w:line="8" w:lineRule="exact"/>
        <w:rPr>
          <w:sz w:val="20"/>
          <w:szCs w:val="20"/>
          <w:color w:val="auto"/>
        </w:rPr>
      </w:pPr>
    </w:p>
    <w:p>
      <w:pPr>
        <w:ind w:left="1660"/>
        <w:spacing w:after="0"/>
        <w:tabs>
          <w:tab w:leader="none" w:pos="274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19"/>
          </w:cols>
          <w:pgMar w:left="240" w:top="295"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73</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ASSIGNMENT FORM</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TO ASSIGN THIS NOTE, FILL IN THE FORM BELOW:</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 ASSIGNMENT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or we, assign this Note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(Print or type name, address and zip code of assignee)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(Please insert Social Security or other identifying number of assignee)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irrevocably appoint _______________ agent to transfer this Note on the books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 The agent may substitute another to act for him.</w:t>
      </w:r>
    </w:p>
    <w:p>
      <w:pPr>
        <w:spacing w:after="0" w:line="200" w:lineRule="exact"/>
        <w:rPr>
          <w:sz w:val="20"/>
          <w:szCs w:val="20"/>
          <w:color w:val="auto"/>
        </w:rPr>
      </w:pPr>
    </w:p>
    <w:p>
      <w:pPr>
        <w:spacing w:after="0" w:line="340"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5"/>
          <w:szCs w:val="15"/>
          <w:color w:val="auto"/>
        </w:rPr>
        <w:t>Dated:_______________________</w:t>
      </w:r>
      <w:r>
        <w:rPr>
          <w:sz w:val="20"/>
          <w:szCs w:val="20"/>
          <w:color w:val="auto"/>
        </w:rPr>
        <w:tab/>
      </w:r>
      <w:r>
        <w:rPr>
          <w:rFonts w:ascii="Courier New" w:cs="Courier New" w:eastAsia="Courier New" w:hAnsi="Courier New"/>
          <w:sz w:val="15"/>
          <w:szCs w:val="15"/>
          <w:color w:val="auto"/>
        </w:rPr>
        <w:t>Signed:________________________________________</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 exactly as your name appears on</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other side of this Note)</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Print Name:____________________________________</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Signature Guarantee:*__________________________</w:t>
      </w:r>
    </w:p>
    <w:p>
      <w:pPr>
        <w:spacing w:after="0" w:line="18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*Signatures must be guaranteed by a commercial bank, trust company or member firm of the New York Stock Exchange.</w:t>
      </w:r>
    </w:p>
    <w:p>
      <w:pPr>
        <w:spacing w:after="0" w:line="35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II. TRANSFEROR REPRESENTATIONS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 connection with any transfer of any of the Notes evidenced by this certificate occurring prior to the date that is two years after the later of the date of original issuance of such Notes and the last date, if any, on which such Notes were owned by the Company or any Affiliate of the company, the undersigned confirms that such Notes are being transferred:</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295" w:right="1440" w:bottom="1440" w:gutter="0" w:footer="0" w:header="0"/>
        </w:sectPr>
      </w:pPr>
    </w:p>
    <w:bookmarkStart w:id="119" w:name="page120"/>
    <w:bookmarkEnd w:id="119"/>
    <w:p>
      <w:pPr>
        <w:ind w:left="285"/>
        <w:spacing w:after="0"/>
        <w:rPr>
          <w:sz w:val="20"/>
          <w:szCs w:val="20"/>
          <w:color w:val="auto"/>
        </w:rPr>
      </w:pPr>
      <w:r>
        <w:rPr>
          <w:rFonts w:ascii="Courier New" w:cs="Courier New" w:eastAsia="Courier New" w:hAnsi="Courier New"/>
          <w:sz w:val="15"/>
          <w:szCs w:val="15"/>
          <w:color w:val="auto"/>
        </w:rPr>
        <w:t>74</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CHECK ONE BOX BELOW</w:t>
      </w:r>
    </w:p>
    <w:p>
      <w:pPr>
        <w:spacing w:after="0" w:line="185" w:lineRule="exact"/>
        <w:rPr>
          <w:sz w:val="20"/>
          <w:szCs w:val="20"/>
          <w:color w:val="auto"/>
        </w:rPr>
      </w:pPr>
    </w:p>
    <w:p>
      <w:pPr>
        <w:ind w:left="825" w:right="3119" w:hanging="825"/>
        <w:spacing w:after="0" w:line="253" w:lineRule="auto"/>
        <w:tabs>
          <w:tab w:leader="none" w:pos="36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to the Company or any subsidiary thereof (attach Restricted Transfer Certificate),</w:t>
      </w:r>
    </w:p>
    <w:p>
      <w:pPr>
        <w:spacing w:after="0" w:line="174" w:lineRule="exact"/>
        <w:rPr>
          <w:rFonts w:ascii="Courier New" w:cs="Courier New" w:eastAsia="Courier New" w:hAnsi="Courier New"/>
          <w:sz w:val="15"/>
          <w:szCs w:val="15"/>
          <w:color w:val="auto"/>
        </w:rPr>
      </w:pPr>
    </w:p>
    <w:p>
      <w:pPr>
        <w:ind w:left="825" w:right="2839" w:hanging="825"/>
        <w:spacing w:after="0" w:line="253" w:lineRule="auto"/>
        <w:tabs>
          <w:tab w:leader="none" w:pos="36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to a qualified institutional buyer in compliance with Rule 144A (attach Rule 144A Transfer Certificate),</w:t>
      </w:r>
    </w:p>
    <w:p>
      <w:pPr>
        <w:spacing w:after="0" w:line="174"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outside the United States in compliance with Rule 904 under the</w:t>
      </w:r>
    </w:p>
    <w:p>
      <w:pPr>
        <w:spacing w:after="0" w:line="7"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(attach Regulation S Transfer Certificate),</w:t>
      </w:r>
    </w:p>
    <w:p>
      <w:pPr>
        <w:spacing w:after="0" w:line="184" w:lineRule="exact"/>
        <w:rPr>
          <w:rFonts w:ascii="Courier New" w:cs="Courier New" w:eastAsia="Courier New" w:hAnsi="Courier New"/>
          <w:sz w:val="15"/>
          <w:szCs w:val="15"/>
          <w:color w:val="auto"/>
        </w:rPr>
      </w:pPr>
    </w:p>
    <w:p>
      <w:pPr>
        <w:ind w:left="825" w:right="2939" w:hanging="825"/>
        <w:spacing w:after="0" w:line="252" w:lineRule="auto"/>
        <w:tabs>
          <w:tab w:leader="none" w:pos="36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pursuant to the exemption from registration provided by Rule 144 under the Securities Act (if available) (attach Restricted Transfer Certificate),</w:t>
      </w:r>
    </w:p>
    <w:p>
      <w:pPr>
        <w:spacing w:after="0" w:line="174" w:lineRule="exact"/>
        <w:rPr>
          <w:rFonts w:ascii="Courier New" w:cs="Courier New" w:eastAsia="Courier New" w:hAnsi="Courier New"/>
          <w:sz w:val="15"/>
          <w:szCs w:val="15"/>
          <w:color w:val="auto"/>
        </w:rPr>
      </w:pPr>
    </w:p>
    <w:p>
      <w:pPr>
        <w:ind w:left="825" w:right="2839" w:hanging="825"/>
        <w:spacing w:after="0" w:line="252" w:lineRule="auto"/>
        <w:tabs>
          <w:tab w:leader="none" w:pos="36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to an institutional "accredited investor" (as defined in rule 501(a)(1), (2), (3), or (7) under the Securities Act (attach Accredited Investor Letter),</w:t>
      </w:r>
    </w:p>
    <w:p>
      <w:pPr>
        <w:spacing w:after="0" w:line="174" w:lineRule="exact"/>
        <w:rPr>
          <w:rFonts w:ascii="Courier New" w:cs="Courier New" w:eastAsia="Courier New" w:hAnsi="Courier New"/>
          <w:sz w:val="15"/>
          <w:szCs w:val="15"/>
          <w:color w:val="auto"/>
        </w:rPr>
      </w:pPr>
    </w:p>
    <w:p>
      <w:pPr>
        <w:ind w:left="825" w:right="2839" w:hanging="825"/>
        <w:spacing w:after="0" w:line="253" w:lineRule="auto"/>
        <w:tabs>
          <w:tab w:leader="none" w:pos="36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in accordance with another exemption from the registration requirements of the Securities Act (attach legal opinion), or</w:t>
      </w:r>
    </w:p>
    <w:p>
      <w:pPr>
        <w:spacing w:after="0" w:line="174" w:lineRule="exact"/>
        <w:rPr>
          <w:rFonts w:ascii="Courier New" w:cs="Courier New" w:eastAsia="Courier New" w:hAnsi="Courier New"/>
          <w:sz w:val="15"/>
          <w:szCs w:val="15"/>
          <w:color w:val="auto"/>
        </w:rPr>
      </w:pPr>
    </w:p>
    <w:p>
      <w:pPr>
        <w:ind w:left="825" w:right="3119" w:hanging="825"/>
        <w:spacing w:after="0" w:line="253" w:lineRule="auto"/>
        <w:tabs>
          <w:tab w:leader="none" w:pos="36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pursuant to an effective registration statement under the Securities Act.</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CHECK IF APPLICABLE</w:t>
      </w:r>
    </w:p>
    <w:p>
      <w:pPr>
        <w:spacing w:after="0" w:line="185" w:lineRule="exact"/>
        <w:rPr>
          <w:sz w:val="20"/>
          <w:szCs w:val="20"/>
          <w:color w:val="auto"/>
        </w:rPr>
      </w:pPr>
    </w:p>
    <w:p>
      <w:pPr>
        <w:ind w:left="825" w:right="3119" w:hanging="825"/>
        <w:spacing w:after="0" w:line="253" w:lineRule="auto"/>
        <w:tabs>
          <w:tab w:leader="none" w:pos="1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The undersigned represents and warrants that it is, or at some time during which it held this Security was, an Affiliate of the Company.</w:t>
      </w:r>
    </w:p>
    <w:p>
      <w:pPr>
        <w:spacing w:after="0" w:line="174" w:lineRule="exact"/>
        <w:rPr>
          <w:rFonts w:ascii="Courier New" w:cs="Courier New" w:eastAsia="Courier New" w:hAnsi="Courier New"/>
          <w:sz w:val="15"/>
          <w:szCs w:val="15"/>
          <w:color w:val="auto"/>
        </w:rPr>
      </w:pPr>
    </w:p>
    <w:p>
      <w:pPr>
        <w:ind w:left="825" w:right="2939" w:hanging="456"/>
        <w:spacing w:after="0" w:line="252" w:lineRule="auto"/>
        <w:tabs>
          <w:tab w:leader="none" w:pos="825"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above is checked and if the undersigned was not an Affiliate of the Company at all times during which it held this Note, indicate the periods during which the undersigned was an Affiliate of the Company:</w:t>
      </w:r>
    </w:p>
    <w:p>
      <w:pPr>
        <w:spacing w:after="0" w:line="174" w:lineRule="exact"/>
        <w:rPr>
          <w:rFonts w:ascii="Courier New" w:cs="Courier New" w:eastAsia="Courier New" w:hAnsi="Courier New"/>
          <w:sz w:val="15"/>
          <w:szCs w:val="15"/>
          <w:color w:val="auto"/>
        </w:rPr>
      </w:pPr>
    </w:p>
    <w:p>
      <w:pPr>
        <w:ind w:left="825" w:right="2839" w:hanging="456"/>
        <w:spacing w:after="0" w:line="252" w:lineRule="auto"/>
        <w:tabs>
          <w:tab w:leader="none" w:pos="825"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above is checked and if the Transferee will not pay the full purchase price for the transfer of this Note on or prior to the date of transfer, indicate when such purchase price will be paid:</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25"/>
          </w:cols>
          <w:pgMar w:left="235" w:top="295" w:right="1440" w:bottom="1440" w:gutter="0" w:footer="0" w:header="0"/>
        </w:sectPr>
      </w:pPr>
    </w:p>
    <w:bookmarkStart w:id="120" w:name="page121"/>
    <w:bookmarkEnd w:id="120"/>
    <w:p>
      <w:pPr>
        <w:ind w:left="285"/>
        <w:spacing w:after="0"/>
        <w:rPr>
          <w:sz w:val="20"/>
          <w:szCs w:val="20"/>
          <w:color w:val="auto"/>
        </w:rPr>
      </w:pPr>
      <w:r>
        <w:rPr>
          <w:rFonts w:ascii="Courier New" w:cs="Courier New" w:eastAsia="Courier New" w:hAnsi="Courier New"/>
          <w:sz w:val="15"/>
          <w:szCs w:val="15"/>
          <w:color w:val="auto"/>
        </w:rPr>
        <w:t>75</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THE UNDERSIGNED HEREBY AGREES THAT, UNLESS THE BOX ABOVE UNDER ITEM (A) IS CHECKED, THE UNDERSIGNED SHALL BE DEEMED TO HAVE REPRESENTED THAT IT IS NOT NOR HAS IT BEEN AT ANY TIME DURING WHICH IT HELD THIS NOTE AN AFFILIATE, AS DEFINED IN RULE 144 UNDER THE SECURITIES ACT OF 1933, AS AMENDED, OF THE COMPANY.</w:t>
      </w:r>
    </w:p>
    <w:p>
      <w:pPr>
        <w:spacing w:after="0" w:line="176"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8" w:lineRule="exact"/>
        <w:rPr>
          <w:sz w:val="20"/>
          <w:szCs w:val="20"/>
          <w:color w:val="auto"/>
        </w:rPr>
      </w:pPr>
    </w:p>
    <w:p>
      <w:pPr>
        <w:ind w:left="4885"/>
        <w:spacing w:after="0"/>
        <w:rPr>
          <w:sz w:val="20"/>
          <w:szCs w:val="20"/>
          <w:color w:val="auto"/>
        </w:rPr>
      </w:pPr>
      <w:r>
        <w:rPr>
          <w:rFonts w:ascii="Courier New" w:cs="Courier New" w:eastAsia="Courier New" w:hAnsi="Courier New"/>
          <w:sz w:val="15"/>
          <w:szCs w:val="15"/>
          <w:color w:val="auto"/>
        </w:rPr>
        <w:t>(Signature)</w:t>
      </w:r>
    </w:p>
    <w:p>
      <w:pPr>
        <w:spacing w:after="0" w:line="36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Signature Guarantee*____________________</w:t>
      </w:r>
    </w:p>
    <w:p>
      <w:pPr>
        <w:spacing w:after="0" w:line="185" w:lineRule="exact"/>
        <w:rPr>
          <w:sz w:val="20"/>
          <w:szCs w:val="20"/>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*Signatures must be guaranteed by a commercial bank, trust company or member firm of the New York Stock Exchange.</w:t>
      </w:r>
    </w:p>
    <w:p>
      <w:pPr>
        <w:spacing w:after="0" w:line="174" w:lineRule="exact"/>
        <w:rPr>
          <w:sz w:val="20"/>
          <w:szCs w:val="20"/>
          <w:color w:val="auto"/>
        </w:rPr>
      </w:pPr>
    </w:p>
    <w:p>
      <w:pPr>
        <w:ind w:left="825" w:hanging="825"/>
        <w:spacing w:after="0"/>
        <w:tabs>
          <w:tab w:leader="none" w:pos="82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TRANSFEREE REPRESENTATIONS</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BE COMPLETED BY PURCHASER IF (2) ABOVE IS CHECKED.</w:t>
      </w:r>
    </w:p>
    <w:p>
      <w:pPr>
        <w:spacing w:after="0" w:line="362" w:lineRule="exact"/>
        <w:rPr>
          <w:sz w:val="20"/>
          <w:szCs w:val="20"/>
          <w:color w:val="auto"/>
        </w:rPr>
      </w:pPr>
    </w:p>
    <w:p>
      <w:pPr>
        <w:ind w:left="825" w:right="2939" w:firstLine="830"/>
        <w:spacing w:after="0" w:line="250" w:lineRule="auto"/>
        <w:rPr>
          <w:sz w:val="20"/>
          <w:szCs w:val="20"/>
          <w:color w:val="auto"/>
        </w:rPr>
      </w:pPr>
      <w:r>
        <w:rPr>
          <w:rFonts w:ascii="Courier New" w:cs="Courier New" w:eastAsia="Courier New" w:hAnsi="Courier New"/>
          <w:sz w:val="15"/>
          <w:szCs w:val="15"/>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2" w:lineRule="exact"/>
        <w:rPr>
          <w:sz w:val="20"/>
          <w:szCs w:val="20"/>
          <w:color w:val="auto"/>
        </w:rPr>
      </w:pPr>
    </w:p>
    <w:p>
      <w:pPr>
        <w:ind w:left="5"/>
        <w:spacing w:after="0"/>
        <w:tabs>
          <w:tab w:leader="none" w:pos="3125" w:val="left"/>
        </w:tabs>
        <w:rPr>
          <w:sz w:val="20"/>
          <w:szCs w:val="20"/>
          <w:color w:val="auto"/>
        </w:rPr>
      </w:pPr>
      <w:r>
        <w:rPr>
          <w:rFonts w:ascii="Courier New" w:cs="Courier New" w:eastAsia="Courier New" w:hAnsi="Courier New"/>
          <w:sz w:val="15"/>
          <w:szCs w:val="15"/>
          <w:color w:val="auto"/>
        </w:rPr>
        <w:t>Dated:___________________</w:t>
      </w:r>
      <w:r>
        <w:rPr>
          <w:sz w:val="20"/>
          <w:szCs w:val="20"/>
          <w:color w:val="auto"/>
        </w:rPr>
        <w:tab/>
      </w:r>
      <w:r>
        <w:rPr>
          <w:rFonts w:ascii="Courier New" w:cs="Courier New" w:eastAsia="Courier New" w:hAnsi="Courier New"/>
          <w:sz w:val="15"/>
          <w:szCs w:val="15"/>
          <w:color w:val="auto"/>
        </w:rPr>
        <w:t>Signed:_____________________________</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3785"/>
        <w:spacing w:after="0"/>
        <w:tabs>
          <w:tab w:leader="none" w:pos="4585" w:val="left"/>
        </w:tabs>
        <w:rPr>
          <w:sz w:val="20"/>
          <w:szCs w:val="20"/>
          <w:color w:val="auto"/>
        </w:rPr>
      </w:pPr>
      <w:r>
        <w:rPr>
          <w:rFonts w:ascii="Courier New" w:cs="Courier New" w:eastAsia="Courier New" w:hAnsi="Courier New"/>
          <w:sz w:val="15"/>
          <w:szCs w:val="15"/>
          <w:color w:val="auto"/>
        </w:rPr>
        <w:t>NOTICE:</w:t>
        <w:tab/>
        <w:t>To be executed by an executive</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Officer</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25"/>
          </w:cols>
          <w:pgMar w:left="235" w:top="295"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76</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TO BE COMPLETED BY PURCHASER IF (3) ABOVE IS CHECKED</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undersigned represents and warrants that it is not a "U.S. Person"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defined in Regulation S under the Securities Act of 1933, as amended).</w:t>
      </w:r>
    </w:p>
    <w:p>
      <w:pPr>
        <w:spacing w:after="0" w:line="185"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5"/>
          <w:szCs w:val="15"/>
          <w:color w:val="auto"/>
        </w:rPr>
        <w:t>Dated:___________________</w:t>
      </w:r>
      <w:r>
        <w:rPr>
          <w:sz w:val="20"/>
          <w:szCs w:val="20"/>
          <w:color w:val="auto"/>
        </w:rPr>
        <w:tab/>
      </w:r>
      <w:r>
        <w:rPr>
          <w:rFonts w:ascii="Courier New" w:cs="Courier New" w:eastAsia="Courier New" w:hAnsi="Courier New"/>
          <w:sz w:val="15"/>
          <w:szCs w:val="15"/>
          <w:color w:val="auto"/>
        </w:rPr>
        <w:t>Signed:_____________________________</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3780"/>
        <w:spacing w:after="0"/>
        <w:tabs>
          <w:tab w:leader="none" w:pos="4580" w:val="left"/>
        </w:tabs>
        <w:rPr>
          <w:sz w:val="20"/>
          <w:szCs w:val="20"/>
          <w:color w:val="auto"/>
        </w:rPr>
      </w:pPr>
      <w:r>
        <w:rPr>
          <w:rFonts w:ascii="Courier New" w:cs="Courier New" w:eastAsia="Courier New" w:hAnsi="Courier New"/>
          <w:sz w:val="15"/>
          <w:szCs w:val="15"/>
          <w:color w:val="auto"/>
        </w:rPr>
        <w:t>NOTICE:</w:t>
        <w:tab/>
        <w:t>To be executed by an executive</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Officer</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295"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77</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OPTION OF HOLDER TO ELECT PURCHASE</w:t>
      </w:r>
    </w:p>
    <w:p>
      <w:pPr>
        <w:spacing w:after="0" w:line="18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If you want to elect to have this Note purchased by the Company pursuant to Section 3.09 or Section 4.07 of the Indenture, check the box: [ ]</w:t>
      </w:r>
    </w:p>
    <w:p>
      <w:pPr>
        <w:spacing w:after="0" w:line="174"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If you want to elect to have only part of this Note purchased by the Company pursuant to Section 3.09 or Section 4.07 of the Indenture, state the amount you want to be purchased (in denominations of $1,000 or any integral multiple thereof):</w:t>
      </w:r>
    </w:p>
    <w:p>
      <w:pPr>
        <w:spacing w:after="0" w:line="17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$_______________</w:t>
      </w:r>
    </w:p>
    <w:p>
      <w:pPr>
        <w:spacing w:after="0" w:line="362"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5"/>
          <w:szCs w:val="15"/>
          <w:color w:val="auto"/>
        </w:rPr>
        <w:t>Dated: _______________________</w:t>
        <w:tab/>
        <w:t>Signed: ________________________________________</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 exactly as your name appears on</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other side of this Note)</w:t>
      </w:r>
    </w:p>
    <w:p>
      <w:pPr>
        <w:spacing w:after="0" w:line="36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Signature Guarantee:*___________________________</w:t>
      </w:r>
    </w:p>
    <w:p>
      <w:pPr>
        <w:spacing w:after="0" w:line="362"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*Signatures must be guaranteed by a commercial bank, trust company or member firm of the New York Stock Exchange.</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ELECTION TO CONVERT</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Akamai Technologies, Inc.</w:t>
      </w:r>
    </w:p>
    <w:p>
      <w:pPr>
        <w:spacing w:after="0" w:line="362" w:lineRule="exact"/>
        <w:rPr>
          <w:sz w:val="20"/>
          <w:szCs w:val="20"/>
          <w:color w:val="auto"/>
        </w:rPr>
      </w:pPr>
    </w:p>
    <w:p>
      <w:pPr>
        <w:ind w:left="820" w:right="2839" w:firstLine="830"/>
        <w:spacing w:after="0" w:line="250" w:lineRule="auto"/>
        <w:rPr>
          <w:sz w:val="20"/>
          <w:szCs w:val="20"/>
          <w:color w:val="auto"/>
        </w:rPr>
      </w:pPr>
      <w:r>
        <w:rPr>
          <w:rFonts w:ascii="Courier New" w:cs="Courier New" w:eastAsia="Courier New" w:hAnsi="Courier New"/>
          <w:sz w:val="15"/>
          <w:szCs w:val="15"/>
          <w:color w:val="auto"/>
        </w:rPr>
        <w:t>The undersigned owner of this Note hereby irrevocably exercise the option to convert this Note, or the portion below designated, into Common Stock of Akamai Technologies, Inc. in accordance with the terms of the Indenture referred to in this Note, and directors that the shares issuable and deliverable upon conversion, together with any check in payment for fractional shares, be issued in the name of and delivered to the undersigned, unless a different name has been indicated in the assignment below. If the shares are to be issued in the name of a person other than the undersigned, the undersigned will pay all transfer taxes payable with respect thereto.</w:t>
      </w:r>
    </w:p>
    <w:p>
      <w:pPr>
        <w:spacing w:after="0" w:line="182" w:lineRule="exact"/>
        <w:rPr>
          <w:sz w:val="20"/>
          <w:szCs w:val="20"/>
          <w:color w:val="auto"/>
        </w:rPr>
      </w:pPr>
    </w:p>
    <w:p>
      <w:pPr>
        <w:ind w:left="820" w:right="2839"/>
        <w:spacing w:after="0" w:line="251" w:lineRule="auto"/>
        <w:rPr>
          <w:sz w:val="20"/>
          <w:szCs w:val="20"/>
          <w:color w:val="auto"/>
        </w:rPr>
      </w:pPr>
      <w:r>
        <w:rPr>
          <w:rFonts w:ascii="Courier New" w:cs="Courier New" w:eastAsia="Courier New" w:hAnsi="Courier New"/>
          <w:sz w:val="15"/>
          <w:szCs w:val="15"/>
          <w:color w:val="auto"/>
        </w:rPr>
        <w:t>Any holder of Notes, upon the exercise of its conversion rights in accordance with the terms of the Indenture and the Note, agrees to be bound by the terms of the Registration Rights Agreement relating to the Common Stock issuable upon conversion of the Notes.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In Whole [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Part [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follows:</w:t>
      </w:r>
    </w:p>
    <w:p>
      <w:pPr>
        <w:spacing w:after="0" w:line="185" w:lineRule="exact"/>
        <w:rPr>
          <w:sz w:val="20"/>
          <w:szCs w:val="20"/>
          <w:color w:val="auto"/>
        </w:rPr>
      </w:pPr>
    </w:p>
    <w:p>
      <w:pPr>
        <w:sectPr>
          <w:pgSz w:w="11900" w:h="16838" w:orient="portrait"/>
          <w:cols w:equalWidth="0" w:num="3">
            <w:col w:w="3340" w:space="720"/>
            <w:col w:w="1000" w:space="480"/>
            <w:col w:w="4679"/>
          </w:cols>
          <w:pgMar w:left="240" w:top="295" w:right="1440" w:bottom="1440" w:gutter="0" w:footer="0" w:header="0"/>
          <w:type w:val="continuous"/>
        </w:sectPr>
      </w:pPr>
    </w:p>
    <w:p>
      <w:pPr>
        <w:ind w:left="4060"/>
        <w:spacing w:after="0"/>
        <w:rPr>
          <w:sz w:val="20"/>
          <w:szCs w:val="20"/>
          <w:color w:val="auto"/>
        </w:rPr>
      </w:pPr>
      <w:r>
        <w:rPr>
          <w:rFonts w:ascii="Courier New" w:cs="Courier New" w:eastAsia="Courier New" w:hAnsi="Courier New"/>
          <w:sz w:val="15"/>
          <w:szCs w:val="15"/>
          <w:color w:val="auto"/>
        </w:rPr>
        <w:t>Portions of Note to be converted</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($1,000 or integral multiples</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thereof): $____________</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295" w:right="1440" w:bottom="1440" w:gutter="0" w:footer="0" w:header="0"/>
          <w:type w:val="continuous"/>
        </w:sectPr>
      </w:pPr>
    </w:p>
    <w:bookmarkStart w:id="123" w:name="page124"/>
    <w:bookmarkEnd w:id="123"/>
    <w:p>
      <w:pPr>
        <w:ind w:left="285"/>
        <w:spacing w:after="0"/>
        <w:rPr>
          <w:sz w:val="20"/>
          <w:szCs w:val="20"/>
          <w:color w:val="auto"/>
        </w:rPr>
      </w:pPr>
      <w:r>
        <w:rPr>
          <w:rFonts w:ascii="Courier New" w:cs="Courier New" w:eastAsia="Courier New" w:hAnsi="Courier New"/>
          <w:sz w:val="15"/>
          <w:szCs w:val="15"/>
          <w:color w:val="auto"/>
        </w:rPr>
        <w:t>78</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Signature</w:t>
      </w:r>
    </w:p>
    <w:p>
      <w:pPr>
        <w:spacing w:after="0" w:line="185" w:lineRule="exact"/>
        <w:rPr>
          <w:sz w:val="20"/>
          <w:szCs w:val="20"/>
          <w:color w:val="auto"/>
        </w:rPr>
      </w:pPr>
    </w:p>
    <w:p>
      <w:pPr>
        <w:ind w:left="5" w:right="3399"/>
        <w:spacing w:after="0" w:line="253" w:lineRule="auto"/>
        <w:rPr>
          <w:sz w:val="20"/>
          <w:szCs w:val="20"/>
          <w:color w:val="auto"/>
        </w:rPr>
      </w:pPr>
      <w:r>
        <w:rPr>
          <w:rFonts w:ascii="Courier New" w:cs="Courier New" w:eastAsia="Courier New" w:hAnsi="Courier New"/>
          <w:sz w:val="15"/>
          <w:szCs w:val="15"/>
          <w:color w:val="auto"/>
        </w:rPr>
        <w:t>Please print or Typewrite Name and Address, Including Zip code, and Social Security or Other Identifying Number:</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________________________________</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Signature Guarantee:*___________</w:t>
      </w:r>
    </w:p>
    <w:p>
      <w:pPr>
        <w:spacing w:after="0" w:line="200" w:lineRule="exact"/>
        <w:rPr>
          <w:sz w:val="20"/>
          <w:szCs w:val="20"/>
          <w:color w:val="auto"/>
        </w:rPr>
      </w:pPr>
    </w:p>
    <w:p>
      <w:pPr>
        <w:spacing w:after="0" w:line="340" w:lineRule="exact"/>
        <w:rPr>
          <w:sz w:val="20"/>
          <w:szCs w:val="20"/>
          <w:color w:val="auto"/>
        </w:rPr>
      </w:pPr>
    </w:p>
    <w:p>
      <w:pPr>
        <w:ind w:left="825" w:right="3219" w:hanging="825"/>
        <w:spacing w:after="0" w:line="253" w:lineRule="auto"/>
        <w:tabs>
          <w:tab w:leader="none" w:pos="82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must be guaranteed by a commercial bank, trust company or member firm of the New York Stock Exchange</w:t>
      </w:r>
    </w:p>
    <w:p>
      <w:pPr>
        <w:spacing w:after="0" w:line="17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25"/>
          </w:cols>
          <w:pgMar w:left="235" w:top="295"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79</w:t>
      </w:r>
    </w:p>
    <w:p>
      <w:pPr>
        <w:spacing w:after="0" w:line="8"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SCHEDULE A</w:t>
      </w:r>
    </w:p>
    <w:p>
      <w:pPr>
        <w:spacing w:after="0" w:line="185"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5"/>
          <w:szCs w:val="15"/>
          <w:color w:val="auto"/>
        </w:rPr>
        <w:t>SCHEDULE OF PRINCIPAL AMOUNT</w:t>
      </w:r>
    </w:p>
    <w:p>
      <w:pPr>
        <w:spacing w:after="0" w:line="185" w:lineRule="exact"/>
        <w:rPr>
          <w:sz w:val="20"/>
          <w:szCs w:val="20"/>
          <w:color w:val="auto"/>
        </w:rPr>
      </w:pPr>
    </w:p>
    <w:p>
      <w:pPr>
        <w:ind w:right="3700"/>
        <w:spacing w:after="0" w:line="252" w:lineRule="auto"/>
        <w:rPr>
          <w:sz w:val="20"/>
          <w:szCs w:val="20"/>
          <w:color w:val="auto"/>
        </w:rPr>
      </w:pPr>
      <w:r>
        <w:rPr>
          <w:rFonts w:ascii="Courier New" w:cs="Courier New" w:eastAsia="Courier New" w:hAnsi="Courier New"/>
          <w:sz w:val="15"/>
          <w:szCs w:val="15"/>
          <w:color w:val="auto"/>
        </w:rPr>
        <w:t>The initial principal amount of this Global Note shall be $ . The following increases or decreases in the principal amount of this Global Note have been made:</w:t>
      </w:r>
    </w:p>
    <w:p>
      <w:pPr>
        <w:sectPr>
          <w:pgSz w:w="11900" w:h="16838" w:orient="portrait"/>
          <w:cols w:equalWidth="0" w:num="1">
            <w:col w:w="10980"/>
          </w:cols>
          <w:pgMar w:left="240" w:top="295" w:right="67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decrease</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 principal</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amount of this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Global Note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92"/>
        <w:spacing w:after="0" w:line="251" w:lineRule="auto"/>
        <w:rPr>
          <w:sz w:val="20"/>
          <w:szCs w:val="20"/>
          <w:color w:val="auto"/>
        </w:rPr>
      </w:pPr>
      <w:r>
        <w:rPr>
          <w:rFonts w:ascii="Courier New" w:cs="Courier New" w:eastAsia="Courier New" w:hAnsi="Courier New"/>
          <w:sz w:val="15"/>
          <w:szCs w:val="15"/>
          <w:color w:val="auto"/>
        </w:rPr>
        <w:t>Amount of increase in principal amount of this Global Note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2" w:lineRule="auto"/>
        <w:rPr>
          <w:sz w:val="20"/>
          <w:szCs w:val="20"/>
          <w:color w:val="auto"/>
        </w:rPr>
      </w:pPr>
      <w:r>
        <w:rPr>
          <w:rFonts w:ascii="Courier New" w:cs="Courier New" w:eastAsia="Courier New" w:hAnsi="Courier New"/>
          <w:sz w:val="15"/>
          <w:szCs w:val="15"/>
          <w:color w:val="auto"/>
        </w:rPr>
        <w:t>Principal amount of this Global Note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of authorized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officer of Trustee or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Notes Custodian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of authorized</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officer</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of Trustee or</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Securities Custodian</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10" w:lineRule="exact"/>
        <w:rPr>
          <w:sz w:val="20"/>
          <w:szCs w:val="20"/>
          <w:color w:val="auto"/>
        </w:rPr>
      </w:pPr>
    </w:p>
    <w:p>
      <w:pPr>
        <w:sectPr>
          <w:pgSz w:w="11900" w:h="16838" w:orient="portrait"/>
          <w:cols w:equalWidth="0" w:num="5">
            <w:col w:w="1840" w:space="100"/>
            <w:col w:w="1920" w:space="200"/>
            <w:col w:w="1940" w:space="360"/>
            <w:col w:w="2300" w:space="0"/>
            <w:col w:w="2320"/>
          </w:cols>
          <w:pgMar w:left="240" w:top="295" w:right="679" w:bottom="1440" w:gutter="0" w:footer="0" w:header="0"/>
          <w:type w:val="continuous"/>
        </w:sectPr>
      </w:pPr>
    </w:p>
    <w:p>
      <w:pPr>
        <w:spacing w:after="0" w:line="329"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A-17</w:t>
      </w:r>
    </w:p>
    <w:p>
      <w:pPr>
        <w:sectPr>
          <w:pgSz w:w="11900" w:h="16838" w:orient="portrait"/>
          <w:cols w:equalWidth="0" w:num="1">
            <w:col w:w="10980"/>
          </w:cols>
          <w:pgMar w:left="240" w:top="295" w:right="679" w:bottom="1440" w:gutter="0" w:footer="0" w:header="0"/>
          <w:type w:val="continuous"/>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80</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AKAMAI TECHNOLOGIES, INC.</w:t>
      </w:r>
    </w:p>
    <w:p>
      <w:pPr>
        <w:spacing w:after="0" w:line="18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5 -1/2% CONVERTIBLE SUBORDINATED NOTE DUE 2007</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REGULATION S GLOBAL NOTE</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No._________</w:t>
      </w:r>
    </w:p>
    <w:p>
      <w:pPr>
        <w:spacing w:after="0" w:line="185" w:lineRule="exact"/>
        <w:rPr>
          <w:sz w:val="20"/>
          <w:szCs w:val="20"/>
          <w:color w:val="auto"/>
        </w:rPr>
      </w:pPr>
    </w:p>
    <w:p>
      <w:pPr>
        <w:sectPr>
          <w:pgSz w:w="11900" w:h="16838" w:orient="portrait"/>
          <w:cols w:equalWidth="0" w:num="2">
            <w:col w:w="5000" w:space="720"/>
            <w:col w:w="4499"/>
          </w:cols>
          <w:pgMar w:left="240" w:top="295" w:right="1440" w:bottom="1440" w:gutter="0" w:footer="0" w:header="0"/>
          <w:type w:val="continuous"/>
        </w:sectPr>
      </w:pPr>
    </w:p>
    <w:p>
      <w:pPr>
        <w:ind w:left="5720"/>
        <w:spacing w:after="0"/>
        <w:rPr>
          <w:sz w:val="20"/>
          <w:szCs w:val="20"/>
          <w:color w:val="auto"/>
        </w:rPr>
      </w:pPr>
      <w:r>
        <w:rPr>
          <w:rFonts w:ascii="Courier New" w:cs="Courier New" w:eastAsia="Courier New" w:hAnsi="Courier New"/>
          <w:sz w:val="15"/>
          <w:szCs w:val="15"/>
          <w:color w:val="auto"/>
        </w:rPr>
        <w:t>$_________________</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Akamai Technologies, Inc., a Delaware corporation (hereinafter called</w:t>
      </w:r>
    </w:p>
    <w:p>
      <w:pPr>
        <w:sectPr>
          <w:pgSz w:w="11900" w:h="16838" w:orient="portrait"/>
          <w:cols w:equalWidth="0" w:num="1">
            <w:col w:w="10219"/>
          </w:cols>
          <w:pgMar w:left="240" w:top="295" w:right="1440" w:bottom="1440" w:gutter="0" w:footer="0" w:header="0"/>
          <w:type w:val="continuous"/>
        </w:sectPr>
      </w:pP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the "Company", which term includes any successors under the Indenture hereinafter referred to), for value received, hereby promises to pay to Cede &amp; Co., or registered assigns, the principal sum of ___________________ dollars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 on ______________, 2007.</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Interest Payment Dates: July 1 and January 1: commencing January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5" w:lineRule="exact"/>
        <w:rPr>
          <w:sz w:val="20"/>
          <w:szCs w:val="20"/>
          <w:color w:val="auto"/>
        </w:rPr>
      </w:pPr>
    </w:p>
    <w:p>
      <w:pPr>
        <w:ind w:left="820"/>
        <w:spacing w:after="0"/>
        <w:tabs>
          <w:tab w:leader="none" w:pos="2180" w:val="left"/>
        </w:tabs>
        <w:rPr>
          <w:sz w:val="20"/>
          <w:szCs w:val="20"/>
          <w:color w:val="auto"/>
        </w:rPr>
      </w:pPr>
      <w:r>
        <w:rPr>
          <w:rFonts w:ascii="Courier New" w:cs="Courier New" w:eastAsia="Courier New" w:hAnsi="Courier New"/>
          <w:sz w:val="15"/>
          <w:szCs w:val="15"/>
          <w:color w:val="auto"/>
        </w:rPr>
        <w:t>Record Dates:</w:t>
        <w:tab/>
        <w:t>June 15 and December 15.</w:t>
      </w:r>
    </w:p>
    <w:p>
      <w:pPr>
        <w:spacing w:after="0" w:line="18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Reference is made to the further provisions of this Note hereinafter set forth, which will, for all purposes, have the same effect as if set forth at this place.</w:t>
      </w:r>
    </w:p>
    <w:p>
      <w:pPr>
        <w:spacing w:after="0" w:line="175"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 under its corporate seal.</w:t>
      </w:r>
    </w:p>
    <w:p>
      <w:pPr>
        <w:spacing w:after="0" w:line="174"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AKAMAI TECHNOLOGIES, INC.,</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a Delaware corporation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Title: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 ____________</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Secretary</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19"/>
          </w:cols>
          <w:pgMar w:left="240" w:top="295" w:right="1440" w:bottom="1440" w:gutter="0" w:footer="0" w:header="0"/>
          <w:type w:val="continuous"/>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81</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one of the Notes described in the within-mentioned Indenture.</w:t>
      </w:r>
    </w:p>
    <w:p>
      <w:pPr>
        <w:spacing w:after="0" w:line="18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as Trustee</w:t>
      </w:r>
    </w:p>
    <w:p>
      <w:pPr>
        <w:spacing w:after="0" w:line="18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By:__________________________________</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Authorized Signatory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Dated:___________________</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19"/>
          </w:cols>
          <w:pgMar w:left="240" w:top="295" w:right="1440" w:bottom="1440" w:gutter="0" w:footer="0" w:header="0"/>
        </w:sectPr>
      </w:pPr>
    </w:p>
    <w:bookmarkStart w:id="127" w:name="page128"/>
    <w:bookmarkEnd w:id="127"/>
    <w:p>
      <w:pPr>
        <w:ind w:left="285"/>
        <w:spacing w:after="0"/>
        <w:rPr>
          <w:sz w:val="20"/>
          <w:szCs w:val="20"/>
          <w:color w:val="auto"/>
        </w:rPr>
      </w:pPr>
      <w:r>
        <w:rPr>
          <w:rFonts w:ascii="Courier New" w:cs="Courier New" w:eastAsia="Courier New" w:hAnsi="Courier New"/>
          <w:sz w:val="15"/>
          <w:szCs w:val="15"/>
          <w:color w:val="auto"/>
        </w:rPr>
        <w:t>82</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5 -1/2% CONVERTIBLE SUBORDINATED NOTE DUE 2007</w:t>
      </w:r>
    </w:p>
    <w:p>
      <w:pPr>
        <w:spacing w:after="0" w:line="185" w:lineRule="exact"/>
        <w:rPr>
          <w:sz w:val="20"/>
          <w:szCs w:val="20"/>
          <w:color w:val="auto"/>
        </w:rPr>
      </w:pPr>
    </w:p>
    <w:p>
      <w:pPr>
        <w:ind w:left="2585"/>
        <w:spacing w:after="0"/>
        <w:rPr>
          <w:sz w:val="20"/>
          <w:szCs w:val="20"/>
          <w:color w:val="auto"/>
        </w:rPr>
      </w:pPr>
      <w:r>
        <w:rPr>
          <w:rFonts w:ascii="Courier New" w:cs="Courier New" w:eastAsia="Courier New" w:hAnsi="Courier New"/>
          <w:sz w:val="15"/>
          <w:szCs w:val="15"/>
          <w:color w:val="auto"/>
        </w:rPr>
        <w:t>REGULATION S GLOBAL NOTE</w:t>
      </w:r>
    </w:p>
    <w:p>
      <w:pPr>
        <w:spacing w:after="0" w:line="185" w:lineRule="exact"/>
        <w:rPr>
          <w:sz w:val="20"/>
          <w:szCs w:val="20"/>
          <w:color w:val="auto"/>
        </w:rPr>
      </w:pPr>
    </w:p>
    <w:p>
      <w:pPr>
        <w:ind w:left="5" w:right="2839" w:firstLine="825"/>
        <w:spacing w:after="0" w:line="250" w:lineRule="auto"/>
        <w:tabs>
          <w:tab w:leader="none" w:pos="1113"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AKAMAI TECHNOLOGIES, INC., a Delaware corporation (the "COMPANY"), is the issuer of 5 -1/2% Convertible Subordinated Notes due 2007 (the "Notes"). The Notes will accrue interest at a rate of 5 -1/2% per annum. The Company promises to pay interest on the Notes in cash semiannually on each July 1 and January 1, commencing on January 1, 2001, to Holders of record on the immediately preceding June 15 and December 15, respectively. Interest on the Notes will accrue from the most recent date to which interest has been paid, or if no interest has been paid, from June 20, 2000. Interest will be computed on the basis of a 360-day year of twelve 30-day months. The Company will pay interest on overdue principal at the interest rate borne by the Notes, compounded semiannually, and, to the extent permitted by law, it shall pay interest on overdue installments of interest (without regard to any applicable grace period) at the same interest rate compounded semiannually.</w:t>
      </w:r>
    </w:p>
    <w:p>
      <w:pPr>
        <w:spacing w:after="0" w:line="183" w:lineRule="exact"/>
        <w:rPr>
          <w:rFonts w:ascii="Courier New" w:cs="Courier New" w:eastAsia="Courier New" w:hAnsi="Courier New"/>
          <w:sz w:val="15"/>
          <w:szCs w:val="15"/>
          <w:color w:val="auto"/>
        </w:rPr>
      </w:pPr>
    </w:p>
    <w:p>
      <w:pPr>
        <w:ind w:left="5" w:right="2839" w:firstLine="825"/>
        <w:spacing w:after="0" w:line="250" w:lineRule="auto"/>
        <w:tabs>
          <w:tab w:leader="none" w:pos="1113"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The holder of this Note (and the Common Stock issuable upon conversion hereof) is entitled to the benefits of a Registration Rights Agreement, dated as of June 20, 2000, among the Company and the Initial Purchasers (the "REGISTRATION RIGHTS AGREEMENT"). Pursuant to the Registration Rights Agreement the Company has agreed for the benefit of the holders of Transfer Restricted Securities, that (i) it will, at its cost, within 90 days after the closing of the sale of the Notes (the "CLOSING"), file a shelf registration statement (the "SHELF REGISTRATION STATEMENT") with the Securities and Exchange Commission (the "COMMISSION") with respect to resales of the Notes and the Common Stock issuable upon conversion thereof, (ii) it will use its reasonable best efforts to cause such Shelf Registration Statement to be declared effective within 180 days after the Closing, and (iii) it will use its reasonable best efforts to keep such Shelf Registration Statement continuously effective under the Securities Act, subject to certain exceptions specified in the Registration Rights Agreement, until the second anniversary of the date of the Closing. If (a) the Company fails to file the Shelf Registration Statement required by the Registration Rights Agreement on or before the date specified above for such filing, (b) such Shelf Registration Statement is not declared effective by the Commission on or prior to the date specified above for such effectiveness, or (c) the Shelf Registration Statement is declared effective but thereafter ceases to be effective or useable in connection with resales of Transfer Restricted Securities during the periods specified in the Registration Rights Agreement without being succeeded immediately by a post-effective amendment to such Shelf Registration Statement that cures such failure and is itself declared effective immediately (each such event referred to in clauses</w:t>
      </w:r>
    </w:p>
    <w:p>
      <w:pPr>
        <w:spacing w:after="0" w:line="10"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(c) above a "REGISTRATION DEFAULT"), then the Company will pay</w:t>
      </w:r>
    </w:p>
    <w:p>
      <w:pPr>
        <w:spacing w:after="0" w:line="7" w:lineRule="exact"/>
        <w:rPr>
          <w:rFonts w:ascii="Courier New" w:cs="Courier New" w:eastAsia="Courier New" w:hAnsi="Courier New"/>
          <w:sz w:val="15"/>
          <w:szCs w:val="15"/>
          <w:color w:val="auto"/>
        </w:rPr>
      </w:pPr>
    </w:p>
    <w:p>
      <w:pPr>
        <w:ind w:left="5"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special interest to each Holder of Transfer Restricted Securities as described below. Notwithstanding the foregoing, as set forth in the Registration Rights Agreement, the Company will be permitted to suspend use of the prospectus that is part of the Shelf Registration Statement during certain periods of time and in certain circumstances relating to pending corporate developments and public filings with the SEC and similar events, and such a suspension shall not be deemed a Registration Default provided it does not last in excess of 60 days in the aggregate during any 12-month period. With respect to the first 90-day period immediately following the occurrence of a Registration Default, the Company shall pay special interest to each Holder of Transfer Restricted Securities in an amount equal to an increase in the annual interest rate on the Notes of 0.25%</w:t>
      </w:r>
    </w:p>
    <w:p>
      <w:pPr>
        <w:spacing w:after="0" w:line="183"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25"/>
          </w:cols>
          <w:pgMar w:left="235" w:top="295" w:right="1440" w:bottom="1440" w:gutter="0" w:footer="0" w:header="0"/>
        </w:sectPr>
      </w:pPr>
    </w:p>
    <w:bookmarkStart w:id="128" w:name="page129"/>
    <w:bookmarkEnd w:id="128"/>
    <w:p>
      <w:pPr>
        <w:ind w:left="285"/>
        <w:spacing w:after="0"/>
        <w:rPr>
          <w:sz w:val="20"/>
          <w:szCs w:val="20"/>
          <w:color w:val="auto"/>
        </w:rPr>
      </w:pPr>
      <w:r>
        <w:rPr>
          <w:rFonts w:ascii="Courier New" w:cs="Courier New" w:eastAsia="Courier New" w:hAnsi="Courier New"/>
          <w:sz w:val="15"/>
          <w:szCs w:val="15"/>
          <w:color w:val="auto"/>
        </w:rPr>
        <w:t>83</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("SPECIAL INTEREST") and with respect to each subsequent 90-day period, additional amounts equal to an increase in the annual interest rate on the Notes of 0.25% until all Registration Defaults have been cured, up to a maximum increase in the annual interest rate on the Notes equal to 1.0%. In the event that this Note, or any portion thereof, shall have been converted into shares of Common Stock pursuant to Section 12 hereof, the amount payable under this Section 2 per share of Common Stock so converted shall be determined by dividing</w:t>
      </w:r>
    </w:p>
    <w:p>
      <w:pPr>
        <w:spacing w:after="0" w:line="3" w:lineRule="exact"/>
        <w:rPr>
          <w:sz w:val="20"/>
          <w:szCs w:val="20"/>
          <w:color w:val="auto"/>
        </w:rPr>
      </w:pPr>
    </w:p>
    <w:p>
      <w:pPr>
        <w:ind w:left="5" w:right="2839" w:hanging="5"/>
        <w:spacing w:after="0" w:line="250" w:lineRule="auto"/>
        <w:tabs>
          <w:tab w:leader="none" w:pos="37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that would have been payable hereunder on the aggregate principal amount so converted by (y) the number of shares of Common Stock issued upon such conversion. All accrued Special Interest shall be paid by the Company on each Interest Payment Date for which Special Interest is owed to the holders of Transfer Restricted Securities by wire transfer of immediately available funds or by federal funds check. Following the cure of all Registration Defaults, the application of Special Interest will cease. THE PROVISIONS OF THIS SECTION 2 SHALL SURVIVE ANY CONVERSION OF THE NOTES INTO SHARES OF COMMON STOCK PURSUANT TO SECTION 12 HEREOF, AND MAY BE ENFORCED BY THE HOLDER OF COMMON STOCK ISSUED UPON CONVERSION OF THIS NOTE.</w:t>
      </w:r>
    </w:p>
    <w:p>
      <w:pPr>
        <w:spacing w:after="0" w:line="181" w:lineRule="exact"/>
        <w:rPr>
          <w:rFonts w:ascii="Courier New" w:cs="Courier New" w:eastAsia="Courier New" w:hAnsi="Courier New"/>
          <w:sz w:val="15"/>
          <w:szCs w:val="15"/>
          <w:color w:val="auto"/>
        </w:rPr>
      </w:pPr>
    </w:p>
    <w:p>
      <w:pPr>
        <w:ind w:left="5" w:right="2839" w:firstLine="825"/>
        <w:spacing w:after="0" w:line="251" w:lineRule="auto"/>
        <w:tabs>
          <w:tab w:leader="none" w:pos="1113"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All payments made by the Company on this Note shall be made without deduction or withholding for or on account of, any and all present or future taxes, duties, assessments, or governmental charges of whatever nature unless the deduction or withholding of such taxes, duties, assessments or government charges is then required by law.</w:t>
      </w:r>
    </w:p>
    <w:p>
      <w:pPr>
        <w:spacing w:after="0" w:line="176" w:lineRule="exact"/>
        <w:rPr>
          <w:rFonts w:ascii="Courier New" w:cs="Courier New" w:eastAsia="Courier New" w:hAnsi="Courier New"/>
          <w:sz w:val="15"/>
          <w:szCs w:val="15"/>
          <w:color w:val="auto"/>
        </w:rPr>
      </w:pPr>
    </w:p>
    <w:p>
      <w:pPr>
        <w:ind w:left="5" w:right="2839" w:firstLine="825"/>
        <w:spacing w:after="0" w:line="250" w:lineRule="auto"/>
        <w:tabs>
          <w:tab w:leader="none" w:pos="1113"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Company will pay interest on the Notes (except defaulted interest) to the Persons who are registered Holders of Notes at the close of business on the record date for the next interest payment date even though Notes are canceled after the record date and on or before the interest payment date. Holders must surrender Notes to a Paying Agent to collect principal and premium payments. The Company will pay principal, premium, if any, interest, and Special Interest, if any, in money of the United States that at the time of payment is legal tender for payment of public and private debts. However, the Company may pay principal, premium, if any, interest and Special Interest, if any, by check payable in such money. It may mail an interest or Special Interest check to a Holder's registered address. Upon the request of a Holder who holds an aggregate principal amount of at least $5.0 million, principal, premium, if any, interest, and Special Interest, if any, shall be paid by wire transfer of immediately available funds to an account previously specified in writing by such Holder to the Company and the Trustee.</w:t>
      </w:r>
    </w:p>
    <w:p>
      <w:pPr>
        <w:spacing w:after="0" w:line="184" w:lineRule="exact"/>
        <w:rPr>
          <w:rFonts w:ascii="Courier New" w:cs="Courier New" w:eastAsia="Courier New" w:hAnsi="Courier New"/>
          <w:sz w:val="15"/>
          <w:szCs w:val="15"/>
          <w:color w:val="auto"/>
        </w:rPr>
      </w:pPr>
    </w:p>
    <w:p>
      <w:pPr>
        <w:ind w:left="5" w:right="2839" w:firstLine="825"/>
        <w:spacing w:after="0" w:line="251" w:lineRule="auto"/>
        <w:tabs>
          <w:tab w:leader="none" w:pos="1113"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AGENT, CONVERSION AGENT AND REGISTRAR. The Trustee will act as Paying Agent, Conversion Agent and Registrar and will maintain an office or agency in the City of New York, New York at which the notes may be presented for payment, transfer or exchange. The Company may change any Paying Agent, Conversion Agent or Registrar without prior notice. The Company or any of its Affiliates may act in any such capacity.</w:t>
      </w:r>
    </w:p>
    <w:p>
      <w:pPr>
        <w:spacing w:after="0" w:line="175" w:lineRule="exact"/>
        <w:rPr>
          <w:rFonts w:ascii="Courier New" w:cs="Courier New" w:eastAsia="Courier New" w:hAnsi="Courier New"/>
          <w:sz w:val="15"/>
          <w:szCs w:val="15"/>
          <w:color w:val="auto"/>
        </w:rPr>
      </w:pPr>
    </w:p>
    <w:p>
      <w:pPr>
        <w:ind w:left="5" w:right="2839" w:firstLine="825"/>
        <w:spacing w:after="0" w:line="250" w:lineRule="auto"/>
        <w:tabs>
          <w:tab w:leader="none" w:pos="1113"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The Company issued the Notes under an Indenture, dated as of June 20, 2000 (the "INDENTURE"), between the Company and State Street Bank and Trust Company, as Trustee. Capitalized terms herein are used as defined in the Indenture unless otherwise defined herein. The terms of the Notes include those stated in the Indenture and those made part of the Indenture by the Trust Indenture Act of 1939 (15 U.S. Code Sections 77aaa-77bbbb) (the "TIA") as in effect on the date of the Indenture. The Notes are subject to, and qualified by, all such terms, certain of which are summarized hereon, and Holders are referred to the Indenture and such Act for a statement of such terms. The Notes are unsecured general obligations of the Company limited to</w:t>
      </w:r>
    </w:p>
    <w:p>
      <w:pPr>
        <w:spacing w:after="0" w:line="18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25"/>
          </w:cols>
          <w:pgMar w:left="235" w:top="295" w:right="1440" w:bottom="1440" w:gutter="0" w:footer="0" w:header="0"/>
        </w:sectPr>
      </w:pPr>
    </w:p>
    <w:bookmarkStart w:id="129" w:name="page130"/>
    <w:bookmarkEnd w:id="129"/>
    <w:p>
      <w:pPr>
        <w:ind w:left="285"/>
        <w:spacing w:after="0"/>
        <w:rPr>
          <w:sz w:val="20"/>
          <w:szCs w:val="20"/>
          <w:color w:val="auto"/>
        </w:rPr>
      </w:pPr>
      <w:r>
        <w:rPr>
          <w:rFonts w:ascii="Courier New" w:cs="Courier New" w:eastAsia="Courier New" w:hAnsi="Courier New"/>
          <w:sz w:val="15"/>
          <w:szCs w:val="15"/>
          <w:color w:val="auto"/>
        </w:rPr>
        <w:t>84</w:t>
      </w:r>
    </w:p>
    <w:p>
      <w:pPr>
        <w:spacing w:after="0" w:line="8" w:lineRule="exact"/>
        <w:rPr>
          <w:sz w:val="20"/>
          <w:szCs w:val="20"/>
          <w:color w:val="auto"/>
        </w:rPr>
      </w:pPr>
    </w:p>
    <w:p>
      <w:pPr>
        <w:ind w:left="5" w:right="2939"/>
        <w:spacing w:after="0" w:line="253" w:lineRule="auto"/>
        <w:rPr>
          <w:sz w:val="20"/>
          <w:szCs w:val="20"/>
          <w:color w:val="auto"/>
        </w:rPr>
      </w:pPr>
      <w:r>
        <w:rPr>
          <w:rFonts w:ascii="Courier New" w:cs="Courier New" w:eastAsia="Courier New" w:hAnsi="Courier New"/>
          <w:sz w:val="15"/>
          <w:szCs w:val="15"/>
          <w:color w:val="auto"/>
        </w:rPr>
        <w:t>$300,000,000 in aggregate principal amount and subordinated in right of payment to all existing and future Senior Debt of the Company.</w:t>
      </w:r>
    </w:p>
    <w:p>
      <w:pPr>
        <w:spacing w:after="0" w:line="174" w:lineRule="exact"/>
        <w:rPr>
          <w:sz w:val="20"/>
          <w:szCs w:val="20"/>
          <w:color w:val="auto"/>
        </w:rPr>
      </w:pPr>
    </w:p>
    <w:p>
      <w:pPr>
        <w:jc w:val="both"/>
        <w:ind w:left="5" w:right="3019" w:hanging="5"/>
        <w:spacing w:after="0" w:line="250" w:lineRule="auto"/>
        <w:tabs>
          <w:tab w:leader="none" w:pos="28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At any time on or after July 3, 2003 the Company may redeem any portion of the Notes, in whole or in part, upon not less than 30 nor more than</w:t>
      </w:r>
    </w:p>
    <w:p>
      <w:pPr>
        <w:ind w:left="5" w:right="2839" w:hanging="5"/>
        <w:spacing w:after="0" w:line="251" w:lineRule="auto"/>
        <w:tabs>
          <w:tab w:leader="none" w:pos="28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notice, at the redemption prices (expressed as percentages of principal amount thereof), together with accrued and unpaid interest and Special Interest thereon to, but excluding, the applicable redemption date. If redeemed during the period beginning July 3, 2003 and ending on June 30, 2004, the redemption price shall be 103.143%, and if redeemed during the 12-month period commencing on July 1 of each of the following years, up to the maturity date the redemption price shall be the corresponding percentage of principal set forth below:</w:t>
      </w:r>
    </w:p>
    <w:p>
      <w:pPr>
        <w:spacing w:after="0" w:line="353" w:lineRule="exact"/>
        <w:rPr>
          <w:sz w:val="20"/>
          <w:szCs w:val="20"/>
          <w:color w:val="auto"/>
        </w:rPr>
      </w:pPr>
    </w:p>
    <w:tbl>
      <w:tblPr>
        <w:tblLayout w:type="fixed"/>
        <w:tblInd w:w="825" w:type="dxa"/>
        <w:tblCellMar>
          <w:top w:w="0" w:type="dxa"/>
          <w:left w:w="0" w:type="dxa"/>
          <w:bottom w:w="0" w:type="dxa"/>
          <w:right w:w="0" w:type="dxa"/>
        </w:tblCellMar>
      </w:tblP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620" w:type="dxa"/>
            <w:vAlign w:val="bottom"/>
          </w:tcPr>
          <w:p>
            <w:pPr>
              <w:spacing w:after="0"/>
              <w:rPr>
                <w:sz w:val="14"/>
                <w:szCs w:val="14"/>
                <w:color w:val="auto"/>
              </w:rPr>
            </w:pPr>
          </w:p>
        </w:tc>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rPr>
              <w:t>Redemption Price</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780" w:type="dxa"/>
            <w:vAlign w:val="bottom"/>
            <w:gridSpan w:val="2"/>
          </w:tcPr>
          <w:p>
            <w:pPr>
              <w:spacing w:after="0"/>
              <w:rPr>
                <w:sz w:val="20"/>
                <w:szCs w:val="20"/>
                <w:color w:val="auto"/>
              </w:rPr>
            </w:pPr>
            <w:r>
              <w:rPr>
                <w:rFonts w:ascii="Courier New" w:cs="Courier New" w:eastAsia="Courier New" w:hAnsi="Courier New"/>
                <w:sz w:val="15"/>
                <w:szCs w:val="15"/>
                <w:color w:val="auto"/>
              </w:rPr>
              <w:t>July 1, 2004 - June 30, 2005.</w:t>
            </w:r>
          </w:p>
        </w:tc>
        <w:tc>
          <w:tcPr>
            <w:tcW w:w="5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102.357%</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July 1, 2005</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 June 30, 2006.</w:t>
            </w:r>
          </w:p>
        </w:tc>
        <w:tc>
          <w:tcPr>
            <w:tcW w:w="5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101.571%</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July 1, 2006</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 June 30, 2007.</w:t>
            </w:r>
          </w:p>
        </w:tc>
        <w:tc>
          <w:tcPr>
            <w:tcW w:w="5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100.786%</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July 1, 2007</w:t>
            </w:r>
          </w:p>
        </w:tc>
        <w:tc>
          <w:tcPr>
            <w:tcW w:w="1620" w:type="dxa"/>
            <w:vAlign w:val="bottom"/>
          </w:tcPr>
          <w:p>
            <w:pPr>
              <w:ind w:left="40"/>
              <w:spacing w:after="0"/>
              <w:rPr>
                <w:sz w:val="20"/>
                <w:szCs w:val="20"/>
                <w:color w:val="auto"/>
              </w:rPr>
            </w:pPr>
            <w:r>
              <w:rPr>
                <w:rFonts w:ascii="Courier New" w:cs="Courier New" w:eastAsia="Courier New" w:hAnsi="Courier New"/>
                <w:sz w:val="5"/>
                <w:szCs w:val="5"/>
                <w:color w:val="auto"/>
                <w:w w:val="88"/>
              </w:rPr>
              <w:t>. .........................................................</w:t>
            </w:r>
          </w:p>
        </w:tc>
        <w:tc>
          <w:tcPr>
            <w:tcW w:w="5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100.000%</w:t>
            </w:r>
          </w:p>
        </w:tc>
      </w:tr>
    </w:tbl>
    <w:p>
      <w:pPr>
        <w:spacing w:after="0" w:line="360"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In the event the Company redeems less than all of the outstanding Notes, the Notes to be redeemed shall be selected by the Trustee in accordance with Section 3.02 of the Indenture. In the event a portion of an outstanding Note is selected for redemption and such Note is converted in part after such selection, the converted portion of such Note shall be deemed (so far as may be) to be the portion to be selected for redemption in accordance with Section 3.02 of the Indenture. The Company may not give notice of any redemption if the Company has defaulted in payment of interest and the default is continuing.</w:t>
      </w:r>
    </w:p>
    <w:p>
      <w:pPr>
        <w:spacing w:after="0" w:line="175" w:lineRule="exact"/>
        <w:rPr>
          <w:sz w:val="20"/>
          <w:szCs w:val="20"/>
          <w:color w:val="auto"/>
        </w:rPr>
      </w:pPr>
    </w:p>
    <w:p>
      <w:pPr>
        <w:ind w:left="5" w:right="3019" w:firstLine="825"/>
        <w:spacing w:after="0" w:line="251" w:lineRule="auto"/>
        <w:tabs>
          <w:tab w:leader="none" w:pos="111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 Notice of redemption will be mailed at least 30 days but not more than 60 days before the redemption date to each Holder of the Notes to be redeemed at his address of record. The Notes in denominations larger than $1,000 may be redeemed in part but only in integral multiples of $1,000. In the event of a redemption of less than all of the Notes, the Notes will be chosen for redemption by the Trustee in accordance with the Indenture. On and after the redemption date, interest ceases to accrue on the Notes or portions of them called for redemption.</w:t>
      </w:r>
    </w:p>
    <w:p>
      <w:pPr>
        <w:spacing w:after="0" w:line="17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If this Note is redeemed subsequent to a record date with respect to any interest payment date specified above and on or prior to such interest payment date, then any accrued interest will be paid to the Person in whose name this Note is registered at the close of business on such record date.</w:t>
      </w:r>
    </w:p>
    <w:p>
      <w:pPr>
        <w:spacing w:after="0" w:line="176" w:lineRule="exact"/>
        <w:rPr>
          <w:sz w:val="20"/>
          <w:szCs w:val="20"/>
          <w:color w:val="auto"/>
        </w:rPr>
      </w:pPr>
    </w:p>
    <w:p>
      <w:pPr>
        <w:ind w:left="5" w:right="2839" w:firstLine="825"/>
        <w:spacing w:after="0" w:line="252" w:lineRule="auto"/>
        <w:tabs>
          <w:tab w:leader="none" w:pos="111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REDEMPTION. The Company will not be required to make mandatory redemption or repurchase payments with respect to the Notes. There are no sinking fund payments with respect to the Notes.</w:t>
      </w:r>
    </w:p>
    <w:p>
      <w:pPr>
        <w:spacing w:after="0" w:line="174" w:lineRule="exact"/>
        <w:rPr>
          <w:rFonts w:ascii="Courier New" w:cs="Courier New" w:eastAsia="Courier New" w:hAnsi="Courier New"/>
          <w:sz w:val="15"/>
          <w:szCs w:val="15"/>
          <w:color w:val="auto"/>
        </w:rPr>
      </w:pPr>
    </w:p>
    <w:p>
      <w:pPr>
        <w:ind w:left="5" w:right="2939" w:firstLine="825"/>
        <w:spacing w:after="0" w:line="251" w:lineRule="auto"/>
        <w:tabs>
          <w:tab w:leader="none" w:pos="120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AT OPTION OF HOLDER. If there is a Fundamental Change, the Company shall be required to offer to purchase on the Purchase Date all outstanding Notes at a purchase price equal to 100% of the aggregate principal amount thereof, plus accrued and unpaid interest and Special Interest, if any, to the Purchase Date. Holders of Notes that are subject to an offer to purchase will receive a Fundamental Change Offer from the Company in accordance with</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25"/>
          </w:cols>
          <w:pgMar w:left="235" w:top="295"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85</w:t>
      </w:r>
    </w:p>
    <w:p>
      <w:pPr>
        <w:spacing w:after="0" w:line="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Section 3.09 of the Indenture and may elect to have such Notes or portions thereof in authorized denominations purchased by completing the form entitled "Option of Holder to Elect Purchase" appearing below.</w:t>
      </w:r>
    </w:p>
    <w:p>
      <w:pPr>
        <w:spacing w:after="0" w:line="175" w:lineRule="exact"/>
        <w:rPr>
          <w:sz w:val="20"/>
          <w:szCs w:val="20"/>
          <w:color w:val="auto"/>
        </w:rPr>
      </w:pPr>
    </w:p>
    <w:p>
      <w:pPr>
        <w:ind w:right="2839" w:firstLine="825"/>
        <w:spacing w:after="0" w:line="251" w:lineRule="auto"/>
        <w:tabs>
          <w:tab w:leader="none" w:pos="12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The payment of the principal of, interest on, Special Interest or any other amounts due on the Notes is subordinated in right of payment to all existing and future Senior Debt of the Company, as described in the Indenture. Each Holder, by accepting a Note, agrees to such subordination and authorizes and directs the Trustee on its behalf to take such action as may be necessary or appropriate to effectuate the subordination so provided and appoints the Trustee as its attorney-in-fact for such purpose.</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2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holder of any Note has the right, exercisable at any time following the Issuance Date and prior to the close of business (New York time) on the date of the Note's maturity, to convert the principal amount thereof (or any portion thereof that is an integral multiple of $1,000) into shares of Common Stock at the initial Conversion Price of $115.47 per share, subject to adjustment under certain circumstances as set forth in the Indenture, except that if a Note is called for redemption, the conversion right will terminate at the close of business on the Business Day immediately preceding the date fixed for redemption.</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To convert a Note, a holder must (1) complete and sign a conversion notice substantially in the form set forth below, (2) surrender the Note to a Conversion Agent, (3) furnish appropriate endorsements or transfer documents if required by the Registrar or Conversion Agent and (4) pay any transfer or similar tax, if required. No payment or adjustment will be made for accrued and unpaid interest on a converted Note, but if any holder surrenders a Note for conversion after the close of business on the record date for the payment of an installment of interest and prior to the opening of business on the next interest payment date, then, notwithstanding such conversion, the interest payable on such interest payment date shall be paid to the holder of such Note on such record date. Any Notes that are, however, delivered to the Company for conversion after any record date but before the next interest payment date must, except as described in the next sentence, be accompanied by a payment equal to the interest payable on such interest payment date on the principal amount of such Notes being converted. Payments to the Company described in the preceding sentence shall not be required if, during that period between a record date and the next interest payment date, a conversion occurs on or after the date that the Company has issued a redemption notice and prior to the date of redemption stated in such notice. If any Notes are converted after an interest payment date but on or before the next record date, no interest will be paid on those Notes. The number of shares issuable upon conversion of a Note is determined by dividing the principal amount of the Note converted by the Conversion Price in effect on the Conversion Date. No fractional shares will be issued upon conversion but a cash adjustment will be made for any fractional interest.</w:t>
      </w:r>
    </w:p>
    <w:p>
      <w:pPr>
        <w:spacing w:after="0" w:line="188"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A note in respect of which a holder has delivered an "Option of Holder to Elect Purchase" form appearing below exercising the option of such holder to require the Company to purchase such Note may be converted only if the notice of exercise is withdrawn as provided above and in accordance with the terms of the Indenture. The above description of conversion of the Notes is qualified by reference to, and is subject in its entirety by, the more complete description thereof contained in the Indenture.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295"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86</w:t>
      </w:r>
    </w:p>
    <w:p>
      <w:pPr>
        <w:spacing w:after="0" w:line="8" w:lineRule="exact"/>
        <w:rPr>
          <w:sz w:val="20"/>
          <w:szCs w:val="20"/>
          <w:color w:val="auto"/>
        </w:rPr>
      </w:pPr>
    </w:p>
    <w:p>
      <w:pPr>
        <w:ind w:left="-280" w:right="2939" w:firstLine="825"/>
        <w:spacing w:after="0" w:line="250" w:lineRule="auto"/>
        <w:tabs>
          <w:tab w:leader="none" w:pos="9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TRANSFER, EXCHANGE. The notes are in registered form, without coupons, in denominations of $1,000 and integral multiples of $1,000. The transfer of Notes may be registered, and Notes may be exchanged, as provided in the Indenture. The Registrar may require a Holder, among other things, to furnish appropriate endorsements and transfer documents and to pay any taxes and fees required by law or permitted by the Indenture. The Registrar need not exchange or register the transfer of any Note or portion of a Note selected for redemption (except the unredeemed portion of any Note being redeemed in part). Also, it need not exchange or register the transfer of any Note for a period of 15 days before a selection of Notes to be redeemed.</w:t>
      </w:r>
    </w:p>
    <w:p>
      <w:pPr>
        <w:spacing w:after="0" w:line="181" w:lineRule="exact"/>
        <w:rPr>
          <w:rFonts w:ascii="Courier New" w:cs="Courier New" w:eastAsia="Courier New" w:hAnsi="Courier New"/>
          <w:sz w:val="15"/>
          <w:szCs w:val="15"/>
          <w:color w:val="auto"/>
        </w:rPr>
      </w:pPr>
    </w:p>
    <w:p>
      <w:pPr>
        <w:ind w:left="-280" w:right="3399" w:firstLine="825"/>
        <w:spacing w:after="0" w:line="253" w:lineRule="auto"/>
        <w:tabs>
          <w:tab w:leader="none" w:pos="9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DEEMED OWNERS. The registered Holder of a Note may be treated as its owner for all purposes.</w:t>
      </w:r>
    </w:p>
    <w:p>
      <w:pPr>
        <w:spacing w:after="0" w:line="174" w:lineRule="exact"/>
        <w:rPr>
          <w:rFonts w:ascii="Courier New" w:cs="Courier New" w:eastAsia="Courier New" w:hAnsi="Courier New"/>
          <w:sz w:val="15"/>
          <w:szCs w:val="15"/>
          <w:color w:val="auto"/>
        </w:rPr>
      </w:pPr>
    </w:p>
    <w:p>
      <w:pPr>
        <w:ind w:left="-280" w:right="2839" w:firstLine="825"/>
        <w:spacing w:after="0" w:line="251" w:lineRule="auto"/>
        <w:tabs>
          <w:tab w:leader="none" w:pos="9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UNCLAIMED MONEY. If money for the payment of principal or interest remains unclaimed for two years, the Trustee and the Paying Agent shall pay the money back to the Company at its written request. After that, Holders of Notes entitled to the money must look to the Company for payment unless an abandoned property law designates another Person and all liability of the Trustee and such Paying Agent with respect to such money shall cease.</w:t>
      </w:r>
    </w:p>
    <w:p>
      <w:pPr>
        <w:spacing w:after="0" w:line="175" w:lineRule="exact"/>
        <w:rPr>
          <w:rFonts w:ascii="Courier New" w:cs="Courier New" w:eastAsia="Courier New" w:hAnsi="Courier New"/>
          <w:sz w:val="15"/>
          <w:szCs w:val="15"/>
          <w:color w:val="auto"/>
        </w:rPr>
      </w:pPr>
    </w:p>
    <w:p>
      <w:pPr>
        <w:ind w:left="-280" w:right="2839" w:firstLine="825"/>
        <w:spacing w:after="0" w:line="250" w:lineRule="auto"/>
        <w:tabs>
          <w:tab w:leader="none" w:pos="9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AND REMEDIES. The Notes shall have the Events of Default set forth in Section 8.01 of the Indenture. Subject to certain limitations in the Indenture, if an Event of Default occurs and is continuing, the Trustee by notice to the Company or the Holders of at least 25% in aggregate principal amount of the then outstanding Notes by notice to the Company and the Trustee may declare all the Notes to be due and payable immediately, except that in the case of an Event of Default arising from certain events of bankruptcy, insolvency or reorganization, all unpaid principal and interest accrued on the Notes shall become due and payable immediately without further action or notice. The Holders of a majority in principal amount of the Notes then outstanding by written notice to the Trustee may rescind an acceleration and its consequences if the rescission would not conflict with any judgment or decree and if all existing Events of Default have been cured or waived except nonpayment of principal or interest that has become due solely because of the acceleration. Holders may not enforce the Indenture or the Notes except as provided in the Indenture. Subject to certain limitations, Holders of a majority in principal amount of the then outstanding Notes issued under the Indenture may direct the Trustee in its exercise of any trust or power. The Company must furnish annually compliance certificates to the Trustee. The above description of Events of Default and remedies is qualified by reference, and subject in its entirety, to the more complete description thereof contained in the Indenture.</w:t>
      </w:r>
    </w:p>
    <w:p>
      <w:pPr>
        <w:spacing w:after="0" w:line="186" w:lineRule="exact"/>
        <w:rPr>
          <w:rFonts w:ascii="Courier New" w:cs="Courier New" w:eastAsia="Courier New" w:hAnsi="Courier New"/>
          <w:sz w:val="15"/>
          <w:szCs w:val="15"/>
          <w:color w:val="auto"/>
        </w:rPr>
      </w:pPr>
    </w:p>
    <w:p>
      <w:pPr>
        <w:ind w:left="-280" w:right="2839" w:firstLine="825"/>
        <w:spacing w:after="0" w:line="250" w:lineRule="auto"/>
        <w:tabs>
          <w:tab w:leader="none" w:pos="9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SUPPLEMENTS AND WAIVERS. Subject to certain exceptions, the Indenture or the Notes may be amended or supplemented with the consent of the Holders of at least a majority in principal amount of the then outstanding Notes (including consents obtained in connection with a tender offer or exchange offer for Notes), and any existing default may be waived with the consent of the Holders of a majority in principal amount of the then outstanding Notes. Without the consent of any Holder, the Indenture or the Notes may be amended, among other reasons, to cure any ambiguity, defect or inconsistency, to provide for uncertificated Notes in addition to or in place of certificated Notes, to provide for assumption of the Company's obligations to Holders, to make any change that does not adversely affect the rights of any Holder or to qualify the Indenture under the TIA or to comply with the requirements of the SEC in order to maintain the qualification of the Indenture under the TIA.</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9939"/>
          </w:cols>
          <w:pgMar w:left="520" w:top="295"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87</w:t>
      </w:r>
    </w:p>
    <w:p>
      <w:pPr>
        <w:spacing w:after="0" w:line="8" w:lineRule="exact"/>
        <w:rPr>
          <w:sz w:val="20"/>
          <w:szCs w:val="20"/>
          <w:color w:val="auto"/>
        </w:rPr>
      </w:pPr>
    </w:p>
    <w:p>
      <w:pPr>
        <w:ind w:right="2939" w:firstLine="825"/>
        <w:spacing w:after="0" w:line="251" w:lineRule="auto"/>
        <w:tabs>
          <w:tab w:leader="none" w:pos="12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DEALINGS WITH THE COMPANY. The Trustee, in its individual or any other capacity may become the owner or pledgee of the Notes and may otherwise deal with the Company or an Affiliate with the same rights it would have, as if it were not Trustee, subject to certain limitations provided for in the Indenture and in the TIA. Any Agent may do the same with like rights.</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2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AGAINST OTHERS. A director, officer, employee, incorporator or shareholder of the Company, as such, shall not have any liability for any obligations of the Company under the Notes or the Indenture or for any claim based on, in respect of or by reason of such obligations or their creation. Each Holder of the Notes by accepting a Note waives and releases all such liability. The waiver and release are part of the consideration for the issue of the Notes.</w:t>
      </w:r>
    </w:p>
    <w:p>
      <w:pPr>
        <w:spacing w:after="0" w:line="175" w:lineRule="exact"/>
        <w:rPr>
          <w:rFonts w:ascii="Courier New" w:cs="Courier New" w:eastAsia="Courier New" w:hAnsi="Courier New"/>
          <w:sz w:val="15"/>
          <w:szCs w:val="15"/>
          <w:color w:val="auto"/>
        </w:rPr>
      </w:pPr>
    </w:p>
    <w:p>
      <w:pPr>
        <w:ind w:right="2939" w:firstLine="825"/>
        <w:spacing w:after="0" w:line="252" w:lineRule="auto"/>
        <w:tabs>
          <w:tab w:leader="none" w:pos="12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INTERNAL LAWS OF THE STATE OF NEW YORK SHALL GOVERN THE INDENTURE AND THE NOTES WITHOUT REGARD TO CONFLICT OF LAW PROVISIONS THEREOF.</w:t>
      </w:r>
    </w:p>
    <w:p>
      <w:pPr>
        <w:spacing w:after="0" w:line="174" w:lineRule="exact"/>
        <w:rPr>
          <w:rFonts w:ascii="Courier New" w:cs="Courier New" w:eastAsia="Courier New" w:hAnsi="Courier New"/>
          <w:sz w:val="15"/>
          <w:szCs w:val="15"/>
          <w:color w:val="auto"/>
        </w:rPr>
      </w:pPr>
    </w:p>
    <w:p>
      <w:pPr>
        <w:ind w:right="2839" w:firstLine="825"/>
        <w:spacing w:after="0" w:line="252" w:lineRule="auto"/>
        <w:tabs>
          <w:tab w:leader="none" w:pos="12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AUTHENTICATION. The Notes shall not be valid until authenticated by the manual signature of an authorized officer of the Trustee or an authenticating agent.</w:t>
      </w:r>
    </w:p>
    <w:p>
      <w:pPr>
        <w:spacing w:after="0" w:line="174" w:lineRule="exact"/>
        <w:rPr>
          <w:rFonts w:ascii="Courier New" w:cs="Courier New" w:eastAsia="Courier New" w:hAnsi="Courier New"/>
          <w:sz w:val="15"/>
          <w:szCs w:val="15"/>
          <w:color w:val="auto"/>
        </w:rPr>
      </w:pPr>
    </w:p>
    <w:p>
      <w:pPr>
        <w:ind w:right="2839" w:firstLine="825"/>
        <w:spacing w:after="0" w:line="252" w:lineRule="auto"/>
        <w:tabs>
          <w:tab w:leader="none" w:pos="12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351" w:lineRule="exact"/>
        <w:rPr>
          <w:sz w:val="20"/>
          <w:szCs w:val="20"/>
          <w:color w:val="auto"/>
        </w:rPr>
      </w:pPr>
    </w:p>
    <w:p>
      <w:pPr>
        <w:ind w:right="2939" w:firstLine="1661"/>
        <w:spacing w:after="0" w:line="252" w:lineRule="auto"/>
        <w:rPr>
          <w:sz w:val="20"/>
          <w:szCs w:val="20"/>
          <w:color w:val="auto"/>
        </w:rPr>
      </w:pPr>
      <w:r>
        <w:rPr>
          <w:rFonts w:ascii="Courier New" w:cs="Courier New" w:eastAsia="Courier New" w:hAnsi="Courier New"/>
          <w:sz w:val="15"/>
          <w:szCs w:val="15"/>
          <w:color w:val="auto"/>
        </w:rPr>
        <w:t>The Company will furnish to any Holder of the Notes upon written request and without charge a copy of the Indenture. Request may be made to:</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Akamai Technologies,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500 Technology Square</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Cambridge, Massachusetts 02139</w:t>
      </w:r>
    </w:p>
    <w:p>
      <w:pPr>
        <w:spacing w:after="0" w:line="8" w:lineRule="exact"/>
        <w:rPr>
          <w:sz w:val="20"/>
          <w:szCs w:val="20"/>
          <w:color w:val="auto"/>
        </w:rPr>
      </w:pPr>
    </w:p>
    <w:p>
      <w:pPr>
        <w:ind w:left="1660"/>
        <w:spacing w:after="0"/>
        <w:tabs>
          <w:tab w:leader="none" w:pos="274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19"/>
          </w:cols>
          <w:pgMar w:left="240" w:top="295"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88</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ASSIGNMENT FORM</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TO ASSIGN THIS NOTE, FILL IN THE FORM BELOW:</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 ASSIGNMENT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or we, assign this Note to: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(Print or type name, address and zip code of assignee)</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(Please insert Social Security or other identifying number of assignee)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irrevocably appoint _______________ agent to transfer this Note on the books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 The agent may substitute another to act for him.</w:t>
      </w:r>
    </w:p>
    <w:p>
      <w:pPr>
        <w:spacing w:after="0" w:line="200" w:lineRule="exact"/>
        <w:rPr>
          <w:sz w:val="20"/>
          <w:szCs w:val="20"/>
          <w:color w:val="auto"/>
        </w:rPr>
      </w:pPr>
    </w:p>
    <w:p>
      <w:pPr>
        <w:spacing w:after="0" w:line="340"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5"/>
          <w:szCs w:val="15"/>
          <w:color w:val="auto"/>
        </w:rPr>
        <w:t>Dated:_______________________</w:t>
      </w:r>
      <w:r>
        <w:rPr>
          <w:sz w:val="20"/>
          <w:szCs w:val="20"/>
          <w:color w:val="auto"/>
        </w:rPr>
        <w:tab/>
      </w:r>
      <w:r>
        <w:rPr>
          <w:rFonts w:ascii="Courier New" w:cs="Courier New" w:eastAsia="Courier New" w:hAnsi="Courier New"/>
          <w:sz w:val="15"/>
          <w:szCs w:val="15"/>
          <w:color w:val="auto"/>
        </w:rPr>
        <w:t>Signed:________________________________________</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 exactly as your name appears on</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other side of this Note)</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Print Name:____________________________________</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Signature Guarantee:*__________________________</w:t>
      </w:r>
    </w:p>
    <w:p>
      <w:pPr>
        <w:spacing w:after="0" w:line="18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*Signatures must be guaranteed by a commercial bank, trust company or member firm of the New York Stock Exchange.</w:t>
      </w:r>
    </w:p>
    <w:p>
      <w:pPr>
        <w:spacing w:after="0" w:line="35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II. TRANSFEROR REPRESENTATIONS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 connection with any transfer of any of the Notes evidenced by this certificate occurring prior to the date that is two years after the later of the date of original issuance of such Notes and the last date, if any, on which such Notes were owned by the Company or any Affiliate of the company, the undersigned confirms that such Notes are being transferred:</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19"/>
          </w:cols>
          <w:pgMar w:left="240" w:top="295" w:right="1440" w:bottom="1440" w:gutter="0" w:footer="0" w:header="0"/>
        </w:sectPr>
      </w:pPr>
    </w:p>
    <w:bookmarkStart w:id="134" w:name="page135"/>
    <w:bookmarkEnd w:id="134"/>
    <w:p>
      <w:pPr>
        <w:ind w:left="285"/>
        <w:spacing w:after="0"/>
        <w:rPr>
          <w:sz w:val="20"/>
          <w:szCs w:val="20"/>
          <w:color w:val="auto"/>
        </w:rPr>
      </w:pPr>
      <w:r>
        <w:rPr>
          <w:rFonts w:ascii="Courier New" w:cs="Courier New" w:eastAsia="Courier New" w:hAnsi="Courier New"/>
          <w:sz w:val="15"/>
          <w:szCs w:val="15"/>
          <w:color w:val="auto"/>
        </w:rPr>
        <w:t>89</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CHECK ONE BOX BELOW</w:t>
      </w:r>
    </w:p>
    <w:p>
      <w:pPr>
        <w:spacing w:after="0" w:line="185" w:lineRule="exact"/>
        <w:rPr>
          <w:sz w:val="20"/>
          <w:szCs w:val="20"/>
          <w:color w:val="auto"/>
        </w:rPr>
      </w:pPr>
    </w:p>
    <w:p>
      <w:pPr>
        <w:ind w:left="825" w:right="3119" w:hanging="825"/>
        <w:spacing w:after="0" w:line="253" w:lineRule="auto"/>
        <w:tabs>
          <w:tab w:leader="none" w:pos="36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to the Company or any subsidiary thereof (attach Restricted Transfer Certificate),</w:t>
      </w:r>
    </w:p>
    <w:p>
      <w:pPr>
        <w:spacing w:after="0" w:line="174" w:lineRule="exact"/>
        <w:rPr>
          <w:rFonts w:ascii="Courier New" w:cs="Courier New" w:eastAsia="Courier New" w:hAnsi="Courier New"/>
          <w:sz w:val="15"/>
          <w:szCs w:val="15"/>
          <w:color w:val="auto"/>
        </w:rPr>
      </w:pPr>
    </w:p>
    <w:p>
      <w:pPr>
        <w:ind w:left="825" w:right="2839" w:hanging="825"/>
        <w:spacing w:after="0" w:line="253" w:lineRule="auto"/>
        <w:tabs>
          <w:tab w:leader="none" w:pos="36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to a qualified institutional buyer in compliance with Rule 144A (attach Rule 144A Transfer Certificate),</w:t>
      </w:r>
    </w:p>
    <w:p>
      <w:pPr>
        <w:spacing w:after="0" w:line="174"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outside the United States in compliance with Rule 904 under the</w:t>
      </w:r>
    </w:p>
    <w:p>
      <w:pPr>
        <w:spacing w:after="0" w:line="7"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(attach Regulation S Transfer Certificate),</w:t>
      </w:r>
    </w:p>
    <w:p>
      <w:pPr>
        <w:spacing w:after="0" w:line="184" w:lineRule="exact"/>
        <w:rPr>
          <w:rFonts w:ascii="Courier New" w:cs="Courier New" w:eastAsia="Courier New" w:hAnsi="Courier New"/>
          <w:sz w:val="15"/>
          <w:szCs w:val="15"/>
          <w:color w:val="auto"/>
        </w:rPr>
      </w:pPr>
    </w:p>
    <w:p>
      <w:pPr>
        <w:ind w:left="825" w:right="2939" w:hanging="825"/>
        <w:spacing w:after="0" w:line="252" w:lineRule="auto"/>
        <w:tabs>
          <w:tab w:leader="none" w:pos="36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pursuant to the exemption from registration provided by Rule 144 under the Securities Act (if available) (attach Restricted Transfer Certificate),</w:t>
      </w:r>
    </w:p>
    <w:p>
      <w:pPr>
        <w:spacing w:after="0" w:line="174" w:lineRule="exact"/>
        <w:rPr>
          <w:rFonts w:ascii="Courier New" w:cs="Courier New" w:eastAsia="Courier New" w:hAnsi="Courier New"/>
          <w:sz w:val="15"/>
          <w:szCs w:val="15"/>
          <w:color w:val="auto"/>
        </w:rPr>
      </w:pPr>
    </w:p>
    <w:p>
      <w:pPr>
        <w:ind w:left="825" w:right="2839" w:hanging="825"/>
        <w:spacing w:after="0" w:line="252" w:lineRule="auto"/>
        <w:tabs>
          <w:tab w:leader="none" w:pos="36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to an institutional "accredited investor" (as defined in rule 501(a)(1), (2), (3), or (7) under the Securities Act (attach Accredited Investor Letter),</w:t>
      </w:r>
    </w:p>
    <w:p>
      <w:pPr>
        <w:spacing w:after="0" w:line="174" w:lineRule="exact"/>
        <w:rPr>
          <w:rFonts w:ascii="Courier New" w:cs="Courier New" w:eastAsia="Courier New" w:hAnsi="Courier New"/>
          <w:sz w:val="15"/>
          <w:szCs w:val="15"/>
          <w:color w:val="auto"/>
        </w:rPr>
      </w:pPr>
    </w:p>
    <w:p>
      <w:pPr>
        <w:ind w:left="825" w:right="2839" w:hanging="825"/>
        <w:spacing w:after="0" w:line="253" w:lineRule="auto"/>
        <w:tabs>
          <w:tab w:leader="none" w:pos="36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in accordance with another exemption from the registration requirements of the Securities Act (attach legal opinion), or</w:t>
      </w:r>
    </w:p>
    <w:p>
      <w:pPr>
        <w:spacing w:after="0" w:line="174" w:lineRule="exact"/>
        <w:rPr>
          <w:rFonts w:ascii="Courier New" w:cs="Courier New" w:eastAsia="Courier New" w:hAnsi="Courier New"/>
          <w:sz w:val="15"/>
          <w:szCs w:val="15"/>
          <w:color w:val="auto"/>
        </w:rPr>
      </w:pPr>
    </w:p>
    <w:p>
      <w:pPr>
        <w:ind w:left="825" w:right="3119" w:hanging="825"/>
        <w:spacing w:after="0" w:line="253" w:lineRule="auto"/>
        <w:tabs>
          <w:tab w:leader="none" w:pos="36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pursuant to an effective registration statement under the Securities Act.</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CHECK IF APPLICABLE</w:t>
      </w:r>
    </w:p>
    <w:p>
      <w:pPr>
        <w:spacing w:after="0" w:line="185" w:lineRule="exact"/>
        <w:rPr>
          <w:sz w:val="20"/>
          <w:szCs w:val="20"/>
          <w:color w:val="auto"/>
        </w:rPr>
      </w:pPr>
    </w:p>
    <w:p>
      <w:pPr>
        <w:ind w:left="825" w:right="3119" w:hanging="825"/>
        <w:spacing w:after="0" w:line="253" w:lineRule="auto"/>
        <w:tabs>
          <w:tab w:leader="none" w:pos="1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The undersigned represents and warrants that it is, or at some time during which it held this Security was, an Affiliate of the Company.</w:t>
      </w:r>
    </w:p>
    <w:p>
      <w:pPr>
        <w:spacing w:after="0" w:line="174" w:lineRule="exact"/>
        <w:rPr>
          <w:rFonts w:ascii="Courier New" w:cs="Courier New" w:eastAsia="Courier New" w:hAnsi="Courier New"/>
          <w:sz w:val="15"/>
          <w:szCs w:val="15"/>
          <w:color w:val="auto"/>
        </w:rPr>
      </w:pPr>
    </w:p>
    <w:p>
      <w:pPr>
        <w:ind w:left="825" w:right="2939" w:hanging="456"/>
        <w:spacing w:after="0" w:line="252" w:lineRule="auto"/>
        <w:tabs>
          <w:tab w:leader="none" w:pos="825"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above is checked and if the undersigned was not an Affiliate of the Company at all times during which it held this Note, indicate the periods during which the undersigned was an Affiliate of the Company:</w:t>
      </w:r>
    </w:p>
    <w:p>
      <w:pPr>
        <w:spacing w:after="0" w:line="174" w:lineRule="exact"/>
        <w:rPr>
          <w:rFonts w:ascii="Courier New" w:cs="Courier New" w:eastAsia="Courier New" w:hAnsi="Courier New"/>
          <w:sz w:val="15"/>
          <w:szCs w:val="15"/>
          <w:color w:val="auto"/>
        </w:rPr>
      </w:pPr>
    </w:p>
    <w:p>
      <w:pPr>
        <w:ind w:left="825" w:right="2839" w:hanging="456"/>
        <w:spacing w:after="0" w:line="252" w:lineRule="auto"/>
        <w:tabs>
          <w:tab w:leader="none" w:pos="825"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above is checked and if the Transferee will not pay the full purchase price for the transfer of this Note on or prior to the date of transfer, indicate when such purchase price will be paid:</w:t>
      </w:r>
    </w:p>
    <w:p>
      <w:pPr>
        <w:spacing w:after="0" w:line="200" w:lineRule="exact"/>
        <w:rPr>
          <w:sz w:val="20"/>
          <w:szCs w:val="20"/>
          <w:color w:val="auto"/>
        </w:rPr>
      </w:pPr>
    </w:p>
    <w:p>
      <w:pPr>
        <w:spacing w:after="0" w:line="329"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25"/>
          </w:cols>
          <w:pgMar w:left="235" w:top="295" w:right="1440" w:bottom="1440" w:gutter="0" w:footer="0" w:header="0"/>
        </w:sectPr>
      </w:pPr>
    </w:p>
    <w:bookmarkStart w:id="135" w:name="page136"/>
    <w:bookmarkEnd w:id="135"/>
    <w:p>
      <w:pPr>
        <w:ind w:left="285"/>
        <w:spacing w:after="0"/>
        <w:rPr>
          <w:sz w:val="20"/>
          <w:szCs w:val="20"/>
          <w:color w:val="auto"/>
        </w:rPr>
      </w:pPr>
      <w:r>
        <w:rPr>
          <w:rFonts w:ascii="Courier New" w:cs="Courier New" w:eastAsia="Courier New" w:hAnsi="Courier New"/>
          <w:sz w:val="15"/>
          <w:szCs w:val="15"/>
          <w:color w:val="auto"/>
        </w:rPr>
        <w:t>90</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THE UNDERSIGNED HEREBY AGREES THAT, UNLESS THE BOX ABOVE UNDER ITEM (A) IS CHECKED, THE UNDERSIGNED SHALL BE DEEMED TO HAVE REPRESENTED THAT IT IS NOT NOR HAS IT BEEN AT ANY TIME DURING WHICH IT HELD THIS NOTE AN AFFILIATE, AS DEFINED IN RULE 144 UNDER THE SECURITIES ACT OF 1933, AS AMENDED, OF THE COMPANY.</w:t>
      </w:r>
    </w:p>
    <w:p>
      <w:pPr>
        <w:spacing w:after="0" w:line="176"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8" w:lineRule="exact"/>
        <w:rPr>
          <w:sz w:val="20"/>
          <w:szCs w:val="20"/>
          <w:color w:val="auto"/>
        </w:rPr>
      </w:pPr>
    </w:p>
    <w:p>
      <w:pPr>
        <w:ind w:left="4885"/>
        <w:spacing w:after="0"/>
        <w:rPr>
          <w:sz w:val="20"/>
          <w:szCs w:val="20"/>
          <w:color w:val="auto"/>
        </w:rPr>
      </w:pPr>
      <w:r>
        <w:rPr>
          <w:rFonts w:ascii="Courier New" w:cs="Courier New" w:eastAsia="Courier New" w:hAnsi="Courier New"/>
          <w:sz w:val="15"/>
          <w:szCs w:val="15"/>
          <w:color w:val="auto"/>
        </w:rPr>
        <w:t>(Signature)</w:t>
      </w:r>
    </w:p>
    <w:p>
      <w:pPr>
        <w:spacing w:after="0" w:line="36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Signature Guarantee*____________________</w:t>
      </w:r>
    </w:p>
    <w:p>
      <w:pPr>
        <w:spacing w:after="0" w:line="185" w:lineRule="exact"/>
        <w:rPr>
          <w:sz w:val="20"/>
          <w:szCs w:val="20"/>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*Signatures must be guaranteed by a commercial bank, trust company or member firm of the New York Stock Exchange.</w:t>
      </w:r>
    </w:p>
    <w:p>
      <w:pPr>
        <w:spacing w:after="0" w:line="174" w:lineRule="exact"/>
        <w:rPr>
          <w:sz w:val="20"/>
          <w:szCs w:val="20"/>
          <w:color w:val="auto"/>
        </w:rPr>
      </w:pPr>
    </w:p>
    <w:p>
      <w:pPr>
        <w:ind w:left="825" w:hanging="825"/>
        <w:spacing w:after="0"/>
        <w:tabs>
          <w:tab w:leader="none" w:pos="82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TRANSFEREE REPRESENTATIONS</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BE COMPLETED BY PURCHASER IF (2) ABOVE IS CHECKED.</w:t>
      </w:r>
    </w:p>
    <w:p>
      <w:pPr>
        <w:spacing w:after="0" w:line="362" w:lineRule="exact"/>
        <w:rPr>
          <w:sz w:val="20"/>
          <w:szCs w:val="20"/>
          <w:color w:val="auto"/>
        </w:rPr>
      </w:pPr>
    </w:p>
    <w:p>
      <w:pPr>
        <w:ind w:left="825" w:right="2939" w:firstLine="830"/>
        <w:spacing w:after="0" w:line="250" w:lineRule="auto"/>
        <w:rPr>
          <w:sz w:val="20"/>
          <w:szCs w:val="20"/>
          <w:color w:val="auto"/>
        </w:rPr>
      </w:pPr>
      <w:r>
        <w:rPr>
          <w:rFonts w:ascii="Courier New" w:cs="Courier New" w:eastAsia="Courier New" w:hAnsi="Courier New"/>
          <w:sz w:val="15"/>
          <w:szCs w:val="15"/>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2" w:lineRule="exact"/>
        <w:rPr>
          <w:sz w:val="20"/>
          <w:szCs w:val="20"/>
          <w:color w:val="auto"/>
        </w:rPr>
      </w:pPr>
    </w:p>
    <w:p>
      <w:pPr>
        <w:ind w:left="5"/>
        <w:spacing w:after="0"/>
        <w:tabs>
          <w:tab w:leader="none" w:pos="3125" w:val="left"/>
        </w:tabs>
        <w:rPr>
          <w:sz w:val="20"/>
          <w:szCs w:val="20"/>
          <w:color w:val="auto"/>
        </w:rPr>
      </w:pPr>
      <w:r>
        <w:rPr>
          <w:rFonts w:ascii="Courier New" w:cs="Courier New" w:eastAsia="Courier New" w:hAnsi="Courier New"/>
          <w:sz w:val="15"/>
          <w:szCs w:val="15"/>
          <w:color w:val="auto"/>
        </w:rPr>
        <w:t>Dated:___________________</w:t>
      </w:r>
      <w:r>
        <w:rPr>
          <w:sz w:val="20"/>
          <w:szCs w:val="20"/>
          <w:color w:val="auto"/>
        </w:rPr>
        <w:tab/>
      </w:r>
      <w:r>
        <w:rPr>
          <w:rFonts w:ascii="Courier New" w:cs="Courier New" w:eastAsia="Courier New" w:hAnsi="Courier New"/>
          <w:sz w:val="15"/>
          <w:szCs w:val="15"/>
          <w:color w:val="auto"/>
        </w:rPr>
        <w:t>Signed:_____________________________</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3785"/>
        <w:spacing w:after="0"/>
        <w:tabs>
          <w:tab w:leader="none" w:pos="4585" w:val="left"/>
        </w:tabs>
        <w:rPr>
          <w:sz w:val="20"/>
          <w:szCs w:val="20"/>
          <w:color w:val="auto"/>
        </w:rPr>
      </w:pPr>
      <w:r>
        <w:rPr>
          <w:rFonts w:ascii="Courier New" w:cs="Courier New" w:eastAsia="Courier New" w:hAnsi="Courier New"/>
          <w:sz w:val="15"/>
          <w:szCs w:val="15"/>
          <w:color w:val="auto"/>
        </w:rPr>
        <w:t>NOTICE:</w:t>
        <w:tab/>
        <w:t>To be executed by an executive</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pacing w:after="0" w:line="340"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25"/>
          </w:cols>
          <w:pgMar w:left="235" w:top="295"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91</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TO BE COMPLETED BY PURCHASER IF (3) ABOVE IS CHECKED</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undersigned represents and warrants that it is not a "U.S. Person"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defined in Regulation S under the Securities Act of 1933, as amended).</w:t>
      </w:r>
    </w:p>
    <w:p>
      <w:pPr>
        <w:spacing w:after="0" w:line="185"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5"/>
          <w:szCs w:val="15"/>
          <w:color w:val="auto"/>
        </w:rPr>
        <w:t>Dated:___________________</w:t>
      </w:r>
      <w:r>
        <w:rPr>
          <w:sz w:val="20"/>
          <w:szCs w:val="20"/>
          <w:color w:val="auto"/>
        </w:rPr>
        <w:tab/>
      </w:r>
      <w:r>
        <w:rPr>
          <w:rFonts w:ascii="Courier New" w:cs="Courier New" w:eastAsia="Courier New" w:hAnsi="Courier New"/>
          <w:sz w:val="15"/>
          <w:szCs w:val="15"/>
          <w:color w:val="auto"/>
        </w:rPr>
        <w:t>Signed:_____________________________</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3780"/>
        <w:spacing w:after="0"/>
        <w:tabs>
          <w:tab w:leader="none" w:pos="4580" w:val="left"/>
        </w:tabs>
        <w:rPr>
          <w:sz w:val="20"/>
          <w:szCs w:val="20"/>
          <w:color w:val="auto"/>
        </w:rPr>
      </w:pPr>
      <w:r>
        <w:rPr>
          <w:rFonts w:ascii="Courier New" w:cs="Courier New" w:eastAsia="Courier New" w:hAnsi="Courier New"/>
          <w:sz w:val="15"/>
          <w:szCs w:val="15"/>
          <w:color w:val="auto"/>
        </w:rPr>
        <w:t>NOTICE:</w:t>
        <w:tab/>
        <w:t>To be executed by an executive</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295"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92</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OPTION OF HOLDER TO ELECT PURCHASE</w:t>
      </w:r>
    </w:p>
    <w:p>
      <w:pPr>
        <w:spacing w:after="0" w:line="18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If you want to elect to have this Note purchased by the Company pursuant to Section 3.09 or Section 4.07 of the Indenture, check the box: [ ]</w:t>
      </w:r>
    </w:p>
    <w:p>
      <w:pPr>
        <w:spacing w:after="0" w:line="174"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If you want to elect to have only part of this Note purchased by the Company pursuant to Section 3.09 or Section 4.07 of the Indenture, state the amount you want to be purchased (in denominations of $1,000 or any integral multiple thereof):</w:t>
      </w:r>
    </w:p>
    <w:p>
      <w:pPr>
        <w:spacing w:after="0" w:line="17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$_______________</w:t>
      </w:r>
    </w:p>
    <w:p>
      <w:pPr>
        <w:spacing w:after="0" w:line="362"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5"/>
          <w:szCs w:val="15"/>
          <w:color w:val="auto"/>
        </w:rPr>
        <w:t>Dated: _______________________</w:t>
        <w:tab/>
        <w:t>Signed: ________________________________________</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 exactly as your name appears on</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other side of this Note)</w:t>
      </w:r>
    </w:p>
    <w:p>
      <w:pPr>
        <w:spacing w:after="0" w:line="36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Signature Guarantee:*___________________________</w:t>
      </w:r>
    </w:p>
    <w:p>
      <w:pPr>
        <w:spacing w:after="0" w:line="362"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*Signatures must be guaranteed by a commercial bank, trust company or member firm of the New York Stock Exchange.</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19"/>
          </w:cols>
          <w:pgMar w:left="240" w:top="295" w:right="1440" w:bottom="1440" w:gutter="0" w:footer="0" w:header="0"/>
        </w:sectPr>
      </w:pPr>
    </w:p>
    <w:bookmarkStart w:id="138" w:name="page139"/>
    <w:bookmarkEnd w:id="138"/>
    <w:p>
      <w:pPr>
        <w:ind w:left="285"/>
        <w:spacing w:after="0"/>
        <w:rPr>
          <w:sz w:val="20"/>
          <w:szCs w:val="20"/>
          <w:color w:val="auto"/>
        </w:rPr>
      </w:pPr>
      <w:r>
        <w:rPr>
          <w:rFonts w:ascii="Courier New" w:cs="Courier New" w:eastAsia="Courier New" w:hAnsi="Courier New"/>
          <w:sz w:val="15"/>
          <w:szCs w:val="15"/>
          <w:color w:val="auto"/>
        </w:rPr>
        <w:t>93</w:t>
      </w:r>
    </w:p>
    <w:p>
      <w:pPr>
        <w:spacing w:after="0" w:line="8"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ELECTION TO CONVERT</w:t>
      </w:r>
    </w:p>
    <w:p>
      <w:pPr>
        <w:spacing w:after="0" w:line="185" w:lineRule="exact"/>
        <w:rPr>
          <w:sz w:val="20"/>
          <w:szCs w:val="20"/>
          <w:color w:val="auto"/>
        </w:rPr>
      </w:pPr>
    </w:p>
    <w:p>
      <w:pPr>
        <w:ind w:left="5"/>
        <w:spacing w:after="0"/>
        <w:tabs>
          <w:tab w:leader="none" w:pos="805"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Akamai Technologies, Inc.</w:t>
      </w:r>
    </w:p>
    <w:p>
      <w:pPr>
        <w:spacing w:after="0" w:line="362" w:lineRule="exact"/>
        <w:rPr>
          <w:sz w:val="20"/>
          <w:szCs w:val="20"/>
          <w:color w:val="auto"/>
        </w:rPr>
      </w:pPr>
    </w:p>
    <w:p>
      <w:pPr>
        <w:ind w:left="825" w:right="2839" w:firstLine="830"/>
        <w:spacing w:after="0" w:line="250" w:lineRule="auto"/>
        <w:rPr>
          <w:sz w:val="20"/>
          <w:szCs w:val="20"/>
          <w:color w:val="auto"/>
        </w:rPr>
      </w:pPr>
      <w:r>
        <w:rPr>
          <w:rFonts w:ascii="Courier New" w:cs="Courier New" w:eastAsia="Courier New" w:hAnsi="Courier New"/>
          <w:sz w:val="15"/>
          <w:szCs w:val="15"/>
          <w:color w:val="auto"/>
        </w:rPr>
        <w:t>The undersigned owner of this Note hereby irrevocably exercise the option to convert this Note, or the portion below designated, into Common Stock of Akamai Technologies, Inc. in accordance with the terms of the Indenture referred to in this Note, and directors that the shares issuable and deliverable upon conversion, together with any check in payment for fractional shares, be issued in the name of and delivered to the undersigned, unless a different name has been indicated in the assignment below. If the shares are to be issued in the name of a person other than the undersigned, the undersigned will pay all transfer taxes payable with respect thereto.</w:t>
      </w:r>
    </w:p>
    <w:p>
      <w:pPr>
        <w:spacing w:after="0" w:line="182" w:lineRule="exact"/>
        <w:rPr>
          <w:sz w:val="20"/>
          <w:szCs w:val="20"/>
          <w:color w:val="auto"/>
        </w:rPr>
      </w:pPr>
    </w:p>
    <w:p>
      <w:pPr>
        <w:ind w:left="825" w:right="2839"/>
        <w:spacing w:after="0" w:line="251" w:lineRule="auto"/>
        <w:rPr>
          <w:sz w:val="20"/>
          <w:szCs w:val="20"/>
          <w:color w:val="auto"/>
        </w:rPr>
      </w:pPr>
      <w:r>
        <w:rPr>
          <w:rFonts w:ascii="Courier New" w:cs="Courier New" w:eastAsia="Courier New" w:hAnsi="Courier New"/>
          <w:sz w:val="15"/>
          <w:szCs w:val="15"/>
          <w:color w:val="auto"/>
        </w:rPr>
        <w:t>Any holder of Notes, upon the exercise of its conversion rights in accordance with the terms of the Indenture and the Note, agrees to be bound by the terms of the Registration Rights Agreement relating to the Common Stock issuable upon conversion of the Notes.</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25"/>
          </w:cols>
          <w:pgMar w:left="235" w:top="295" w:right="1440" w:bottom="1440" w:gutter="0" w:footer="0" w:header="0"/>
        </w:sectPr>
      </w:pPr>
    </w:p>
    <w:p>
      <w:pPr>
        <w:spacing w:after="0" w:line="185" w:lineRule="exact"/>
        <w:rPr>
          <w:sz w:val="20"/>
          <w:szCs w:val="20"/>
          <w:color w:val="auto"/>
        </w:rPr>
      </w:pPr>
    </w:p>
    <w:p>
      <w:pPr>
        <w:ind w:left="1665"/>
        <w:spacing w:after="0"/>
        <w:rPr>
          <w:sz w:val="20"/>
          <w:szCs w:val="20"/>
          <w:color w:val="auto"/>
        </w:rPr>
      </w:pPr>
      <w:r>
        <w:rPr>
          <w:rFonts w:ascii="Courier New" w:cs="Courier New" w:eastAsia="Courier New" w:hAnsi="Courier New"/>
          <w:sz w:val="15"/>
          <w:szCs w:val="15"/>
          <w:color w:val="auto"/>
        </w:rPr>
        <w:t>In Whole [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Part [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follows:</w:t>
      </w:r>
    </w:p>
    <w:p>
      <w:pPr>
        <w:spacing w:after="0" w:line="185" w:lineRule="exact"/>
        <w:rPr>
          <w:sz w:val="20"/>
          <w:szCs w:val="20"/>
          <w:color w:val="auto"/>
        </w:rPr>
      </w:pPr>
    </w:p>
    <w:p>
      <w:pPr>
        <w:sectPr>
          <w:pgSz w:w="11900" w:h="16838" w:orient="portrait"/>
          <w:cols w:equalWidth="0" w:num="3">
            <w:col w:w="3345" w:space="720"/>
            <w:col w:w="1000" w:space="480"/>
            <w:col w:w="4679"/>
          </w:cols>
          <w:pgMar w:left="235" w:top="295" w:right="1440" w:bottom="1440" w:gutter="0" w:footer="0" w:header="0"/>
          <w:type w:val="continuous"/>
        </w:sectPr>
      </w:pPr>
    </w:p>
    <w:p>
      <w:pPr>
        <w:ind w:left="4065"/>
        <w:spacing w:after="0"/>
        <w:rPr>
          <w:sz w:val="20"/>
          <w:szCs w:val="20"/>
          <w:color w:val="auto"/>
        </w:rPr>
      </w:pPr>
      <w:r>
        <w:rPr>
          <w:rFonts w:ascii="Courier New" w:cs="Courier New" w:eastAsia="Courier New" w:hAnsi="Courier New"/>
          <w:sz w:val="15"/>
          <w:szCs w:val="15"/>
          <w:color w:val="auto"/>
        </w:rPr>
        <w:t>Portions of Note to be converted</w:t>
      </w:r>
    </w:p>
    <w:p>
      <w:pPr>
        <w:spacing w:after="0" w:line="8"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($1,000 or integral multiples</w:t>
      </w:r>
    </w:p>
    <w:p>
      <w:pPr>
        <w:spacing w:after="0" w:line="8"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thereof): $____________</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Signature</w:t>
      </w:r>
    </w:p>
    <w:p>
      <w:pPr>
        <w:spacing w:after="0" w:line="185" w:lineRule="exact"/>
        <w:rPr>
          <w:sz w:val="20"/>
          <w:szCs w:val="20"/>
          <w:color w:val="auto"/>
        </w:rPr>
      </w:pPr>
    </w:p>
    <w:p>
      <w:pPr>
        <w:ind w:left="5" w:right="3399"/>
        <w:spacing w:after="0" w:line="253" w:lineRule="auto"/>
        <w:rPr>
          <w:sz w:val="20"/>
          <w:szCs w:val="20"/>
          <w:color w:val="auto"/>
        </w:rPr>
      </w:pPr>
      <w:r>
        <w:rPr>
          <w:rFonts w:ascii="Courier New" w:cs="Courier New" w:eastAsia="Courier New" w:hAnsi="Courier New"/>
          <w:sz w:val="15"/>
          <w:szCs w:val="15"/>
          <w:color w:val="auto"/>
        </w:rPr>
        <w:t>Please print or Typewrite Name and Address, Including Zip code, and Social Security or Other Identifying Number:</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________________________________</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Signature Guarantee:*___________</w:t>
      </w:r>
    </w:p>
    <w:p>
      <w:pPr>
        <w:spacing w:after="0" w:line="200" w:lineRule="exact"/>
        <w:rPr>
          <w:sz w:val="20"/>
          <w:szCs w:val="20"/>
          <w:color w:val="auto"/>
        </w:rPr>
      </w:pPr>
    </w:p>
    <w:p>
      <w:pPr>
        <w:spacing w:after="0" w:line="340" w:lineRule="exact"/>
        <w:rPr>
          <w:sz w:val="20"/>
          <w:szCs w:val="20"/>
          <w:color w:val="auto"/>
        </w:rPr>
      </w:pPr>
    </w:p>
    <w:p>
      <w:pPr>
        <w:ind w:left="825" w:right="3219" w:hanging="825"/>
        <w:spacing w:after="0" w:line="253" w:lineRule="auto"/>
        <w:tabs>
          <w:tab w:leader="none" w:pos="82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must be guaranteed by a commercial bank, trust company or member firm of the New York Stock Exchange</w:t>
      </w:r>
    </w:p>
    <w:p>
      <w:pPr>
        <w:spacing w:after="0" w:line="17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25"/>
          </w:cols>
          <w:pgMar w:left="235" w:top="295" w:right="1440" w:bottom="1440" w:gutter="0" w:footer="0" w:header="0"/>
          <w:type w:val="continuous"/>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94</w:t>
      </w:r>
    </w:p>
    <w:p>
      <w:pPr>
        <w:spacing w:after="0" w:line="8"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SCHEDULE A</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SCHEDULE OF PRINCIPAL AMOUNT</w:t>
      </w:r>
    </w:p>
    <w:p>
      <w:pPr>
        <w:spacing w:after="0" w:line="185" w:lineRule="exact"/>
        <w:rPr>
          <w:sz w:val="20"/>
          <w:szCs w:val="20"/>
          <w:color w:val="auto"/>
        </w:rPr>
      </w:pPr>
    </w:p>
    <w:p>
      <w:pPr>
        <w:ind w:right="4520"/>
        <w:spacing w:after="0" w:line="252" w:lineRule="auto"/>
        <w:rPr>
          <w:sz w:val="20"/>
          <w:szCs w:val="20"/>
          <w:color w:val="auto"/>
        </w:rPr>
      </w:pPr>
      <w:r>
        <w:rPr>
          <w:rFonts w:ascii="Courier New" w:cs="Courier New" w:eastAsia="Courier New" w:hAnsi="Courier New"/>
          <w:sz w:val="15"/>
          <w:szCs w:val="15"/>
          <w:color w:val="auto"/>
        </w:rPr>
        <w:t>The initial principal amount of this Global Note shall be $ . The following increases or decreases in the principal amount of this Global Note have been made:</w:t>
      </w:r>
    </w:p>
    <w:p>
      <w:pPr>
        <w:sectPr>
          <w:pgSz w:w="11900" w:h="16838" w:orient="portrait"/>
          <w:cols w:equalWidth="0" w:num="1">
            <w:col w:w="11520"/>
          </w:cols>
          <w:pgMar w:left="240" w:top="295" w:right="1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180" w:hanging="184"/>
        <w:spacing w:after="0" w:line="251" w:lineRule="auto"/>
        <w:rPr>
          <w:sz w:val="20"/>
          <w:szCs w:val="20"/>
          <w:color w:val="auto"/>
        </w:rPr>
      </w:pPr>
      <w:r>
        <w:rPr>
          <w:rFonts w:ascii="Courier New" w:cs="Courier New" w:eastAsia="Courier New" w:hAnsi="Courier New"/>
          <w:sz w:val="15"/>
          <w:szCs w:val="15"/>
          <w:color w:val="auto"/>
        </w:rPr>
        <w:t>Amount of decrease in principal amount of this Global 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0" w:firstLine="92"/>
        <w:spacing w:after="0" w:line="252" w:lineRule="auto"/>
        <w:rPr>
          <w:sz w:val="20"/>
          <w:szCs w:val="20"/>
          <w:color w:val="auto"/>
        </w:rPr>
      </w:pPr>
      <w:r>
        <w:rPr>
          <w:rFonts w:ascii="Courier New" w:cs="Courier New" w:eastAsia="Courier New" w:hAnsi="Courier New"/>
          <w:sz w:val="15"/>
          <w:szCs w:val="15"/>
          <w:color w:val="auto"/>
        </w:rPr>
        <w:t>Amount of increase in principal amount of this Global 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hanging="91"/>
        <w:spacing w:after="0" w:line="253" w:lineRule="auto"/>
        <w:rPr>
          <w:sz w:val="20"/>
          <w:szCs w:val="20"/>
          <w:color w:val="auto"/>
        </w:rPr>
      </w:pPr>
      <w:r>
        <w:rPr>
          <w:rFonts w:ascii="Courier New" w:cs="Courier New" w:eastAsia="Courier New" w:hAnsi="Courier New"/>
          <w:sz w:val="15"/>
          <w:szCs w:val="15"/>
          <w:color w:val="auto"/>
        </w:rPr>
        <w:t>Principal amount of this Global 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of authorized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 of Trustee or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Notes Custodian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of authorized</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officer</w:t>
      </w:r>
    </w:p>
    <w:p>
      <w:pPr>
        <w:spacing w:after="0" w:line="8"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of Trustee or</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Securities Custodian</w:t>
      </w:r>
    </w:p>
    <w:p>
      <w:pPr>
        <w:spacing w:after="0" w:line="210" w:lineRule="exact"/>
        <w:rPr>
          <w:sz w:val="20"/>
          <w:szCs w:val="20"/>
          <w:color w:val="auto"/>
        </w:rPr>
      </w:pPr>
    </w:p>
    <w:p>
      <w:pPr>
        <w:sectPr>
          <w:pgSz w:w="11900" w:h="16838" w:orient="portrait"/>
          <w:cols w:equalWidth="0" w:num="5">
            <w:col w:w="1660" w:space="280"/>
            <w:col w:w="2140" w:space="720"/>
            <w:col w:w="1660" w:space="460"/>
            <w:col w:w="2120" w:space="360"/>
            <w:col w:w="2120"/>
          </w:cols>
          <w:pgMar w:left="240" w:top="295" w:right="139" w:bottom="1440" w:gutter="0" w:footer="0" w:header="0"/>
          <w:type w:val="continuous"/>
        </w:sectPr>
      </w:pPr>
    </w:p>
    <w:p>
      <w:pPr>
        <w:spacing w:after="0" w:line="329"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A-32</w:t>
      </w:r>
    </w:p>
    <w:p>
      <w:pPr>
        <w:sectPr>
          <w:pgSz w:w="11900" w:h="16838" w:orient="portrait"/>
          <w:cols w:equalWidth="0" w:num="1">
            <w:col w:w="11520"/>
          </w:cols>
          <w:pgMar w:left="240" w:top="295" w:right="139" w:bottom="1440" w:gutter="0" w:footer="0" w:header="0"/>
          <w:type w:val="continuous"/>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95</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AKAMAI TECHNOLOGIES, INC.</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5-1/2% CONVERTIBLE SUBORDINATED NOTE DUE 2007</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ACCREDITED INVESTOR GLOBAL NOTE</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No. _______</w:t>
      </w:r>
    </w:p>
    <w:p>
      <w:pPr>
        <w:spacing w:after="0" w:line="185" w:lineRule="exact"/>
        <w:rPr>
          <w:sz w:val="20"/>
          <w:szCs w:val="20"/>
          <w:color w:val="auto"/>
        </w:rPr>
      </w:pPr>
    </w:p>
    <w:p>
      <w:pPr>
        <w:sectPr>
          <w:pgSz w:w="11900" w:h="16838" w:orient="portrait"/>
          <w:cols w:equalWidth="0" w:num="2">
            <w:col w:w="5080" w:space="720"/>
            <w:col w:w="4419"/>
          </w:cols>
          <w:pgMar w:left="240" w:top="295" w:right="1440" w:bottom="1440" w:gutter="0" w:footer="0" w:header="0"/>
          <w:type w:val="continuous"/>
        </w:sectPr>
      </w:pPr>
    </w:p>
    <w:p>
      <w:pPr>
        <w:ind w:left="5800"/>
        <w:spacing w:after="0"/>
        <w:rPr>
          <w:sz w:val="20"/>
          <w:szCs w:val="20"/>
          <w:color w:val="auto"/>
        </w:rPr>
      </w:pPr>
      <w:r>
        <w:rPr>
          <w:rFonts w:ascii="Courier New" w:cs="Courier New" w:eastAsia="Courier New" w:hAnsi="Courier New"/>
          <w:sz w:val="15"/>
          <w:szCs w:val="15"/>
          <w:color w:val="auto"/>
        </w:rPr>
        <w:t>$________________</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Akamai Technologies, Inc., a Delaware corporation (hereinafter called</w:t>
      </w:r>
    </w:p>
    <w:p>
      <w:pPr>
        <w:sectPr>
          <w:pgSz w:w="11900" w:h="16838" w:orient="portrait"/>
          <w:cols w:equalWidth="0" w:num="1">
            <w:col w:w="10219"/>
          </w:cols>
          <w:pgMar w:left="240" w:top="295" w:right="1440" w:bottom="1440" w:gutter="0" w:footer="0" w:header="0"/>
          <w:type w:val="continuous"/>
        </w:sectPr>
      </w:pP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the "Company", which term includes any successors under the Indenture hereinafter referred to), for value received, hereby promises to pay to Cede &amp; Co., or registered assigns, the principal sum of ___________________ dollars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 on ______________, 2007.</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Interest Payment Dates: July 1 and January 1: commencing January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5" w:lineRule="exact"/>
        <w:rPr>
          <w:sz w:val="20"/>
          <w:szCs w:val="20"/>
          <w:color w:val="auto"/>
        </w:rPr>
      </w:pPr>
    </w:p>
    <w:p>
      <w:pPr>
        <w:ind w:left="820"/>
        <w:spacing w:after="0"/>
        <w:tabs>
          <w:tab w:leader="none" w:pos="2180" w:val="left"/>
        </w:tabs>
        <w:rPr>
          <w:sz w:val="20"/>
          <w:szCs w:val="20"/>
          <w:color w:val="auto"/>
        </w:rPr>
      </w:pPr>
      <w:r>
        <w:rPr>
          <w:rFonts w:ascii="Courier New" w:cs="Courier New" w:eastAsia="Courier New" w:hAnsi="Courier New"/>
          <w:sz w:val="15"/>
          <w:szCs w:val="15"/>
          <w:color w:val="auto"/>
        </w:rPr>
        <w:t>Record Dates:</w:t>
        <w:tab/>
        <w:t>June 15 and December 15.</w:t>
      </w:r>
    </w:p>
    <w:p>
      <w:pPr>
        <w:spacing w:after="0" w:line="18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Reference is made to the further provisions of this Note hereinafter set forth, which will, for all purposes, have the same effect as if set forth at this place.</w:t>
      </w:r>
    </w:p>
    <w:p>
      <w:pPr>
        <w:spacing w:after="0" w:line="175"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 under its corporate seal.</w:t>
      </w:r>
    </w:p>
    <w:p>
      <w:pPr>
        <w:spacing w:after="0" w:line="174"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AKAMAI TECHNOLOGIES, INC.,</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a Delaware corporation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Title: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 ____________</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Secretary</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19"/>
          </w:cols>
          <w:pgMar w:left="240" w:top="295" w:right="1440" w:bottom="1440" w:gutter="0" w:footer="0" w:header="0"/>
          <w:type w:val="continuous"/>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96</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one of the Notes described in the within-mentioned Indenture.</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as Trustee</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By:_______________________________________</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Authorized Signatory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Dated:___________________</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19"/>
          </w:cols>
          <w:pgMar w:left="240" w:top="295" w:right="1440" w:bottom="1440" w:gutter="0" w:footer="0" w:header="0"/>
        </w:sectPr>
      </w:pPr>
    </w:p>
    <w:bookmarkStart w:id="142" w:name="page143"/>
    <w:bookmarkEnd w:id="142"/>
    <w:p>
      <w:pPr>
        <w:ind w:left="285"/>
        <w:spacing w:after="0"/>
        <w:rPr>
          <w:sz w:val="20"/>
          <w:szCs w:val="20"/>
          <w:color w:val="auto"/>
        </w:rPr>
      </w:pPr>
      <w:r>
        <w:rPr>
          <w:rFonts w:ascii="Courier New" w:cs="Courier New" w:eastAsia="Courier New" w:hAnsi="Courier New"/>
          <w:sz w:val="15"/>
          <w:szCs w:val="15"/>
          <w:color w:val="auto"/>
        </w:rPr>
        <w:t>97</w:t>
      </w:r>
    </w:p>
    <w:p>
      <w:pPr>
        <w:spacing w:after="0" w:line="8" w:lineRule="exact"/>
        <w:rPr>
          <w:sz w:val="20"/>
          <w:szCs w:val="20"/>
          <w:color w:val="auto"/>
        </w:rPr>
      </w:pPr>
    </w:p>
    <w:p>
      <w:pPr>
        <w:ind w:left="1565"/>
        <w:spacing w:after="0"/>
        <w:rPr>
          <w:sz w:val="20"/>
          <w:szCs w:val="20"/>
          <w:color w:val="auto"/>
        </w:rPr>
      </w:pPr>
      <w:r>
        <w:rPr>
          <w:rFonts w:ascii="Courier New" w:cs="Courier New" w:eastAsia="Courier New" w:hAnsi="Courier New"/>
          <w:sz w:val="15"/>
          <w:szCs w:val="15"/>
          <w:color w:val="auto"/>
        </w:rPr>
        <w:t>5-1/2% CONVERTIBLE SUBORDINATED NOTE DUE 2007</w:t>
      </w:r>
    </w:p>
    <w:p>
      <w:pPr>
        <w:spacing w:after="0" w:line="185"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ACCREDITED INVESTOR GLOBAL NOTE</w:t>
      </w:r>
    </w:p>
    <w:p>
      <w:pPr>
        <w:spacing w:after="0" w:line="185" w:lineRule="exact"/>
        <w:rPr>
          <w:sz w:val="20"/>
          <w:szCs w:val="20"/>
          <w:color w:val="auto"/>
        </w:rPr>
      </w:pPr>
    </w:p>
    <w:p>
      <w:pPr>
        <w:ind w:left="5" w:right="2839" w:firstLine="825"/>
        <w:spacing w:after="0" w:line="250" w:lineRule="auto"/>
        <w:tabs>
          <w:tab w:leader="none" w:pos="1113"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AKAMAI TECHNOLOGIES, INC., a Delaware corporation (the "COMPANY"), is the issuer of 5-1/2% Convertible Subordinated Notes due 2007 (the "Notes"). The Notes will accrue interest at a rate of 5-1/2% per annum. The Company promises to pay interest on the Notes in cash semiannually on each July 1 and January 1, commencing on January 1, 2001, to Holders of record on the immediately preceding June 15 and December 15, respectively. Interest on the Notes will accrue from the most recent date to which interest has been paid, or if no interest has been paid, from June 20, 2000. Interest will be computed on the basis of a 360-day year of twelve 30-day months. The Company will pay interest on overdue principal at the interest rate borne by the Notes, compounded semiannually, and, to the extent permitted by law, it shall pay interest on overdue installments of interest (without regard to any applicable grace period) at the same interest rate compounded semiannually.</w:t>
      </w:r>
    </w:p>
    <w:p>
      <w:pPr>
        <w:spacing w:after="0" w:line="183" w:lineRule="exact"/>
        <w:rPr>
          <w:rFonts w:ascii="Courier New" w:cs="Courier New" w:eastAsia="Courier New" w:hAnsi="Courier New"/>
          <w:sz w:val="15"/>
          <w:szCs w:val="15"/>
          <w:color w:val="auto"/>
        </w:rPr>
      </w:pPr>
    </w:p>
    <w:p>
      <w:pPr>
        <w:ind w:left="5" w:right="2839" w:firstLine="825"/>
        <w:spacing w:after="0" w:line="250" w:lineRule="auto"/>
        <w:tabs>
          <w:tab w:leader="none" w:pos="1113"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The holder of this Note (and the Common Stock issuable upon conversion hereof) is entitled to the benefits of a Registration Rights Agreement, dated as of June 20, 2000, among the Company and the Initial Purchasers (the "REGISTRATION RIGHTS AGREEMENT"). Pursuant to the Registration Rights Agreement the Company has agreed for the benefit of the holders of Transfer Restricted Securities, that (i) it will, at its cost, within 90 days after the closing of the sale of the Notes (the "CLOSING"), file a shelf registration statement (the "SHELF REGISTRATION STATEMENT") with the Securities and Exchange Commission (the "COMMISSION") with respect to resales of the Notes and the Common Stock issuable upon conversion thereof, (ii) it will use its reasonable best efforts to cause such Shelf Registration Statement to be declared effective within 180 days after the Closing, and (iii) it will use its reasonable best efforts to keep such Shelf Registration Statement continuously effective under the Securities Act, subject to certain exceptions specified in the Registration Rights Agreement, until the second anniversary of the date of the Closing. If (a) the Company fails to file the Shelf Registration Statement required by the Registration Rights Agreement on or before the date specified above for such filing, (b) such Shelf Registration Statement is not declared effective by the Commission on or prior to the date specified above for such effectiveness, or (c) the Shelf Registration Statement is declared effective but thereafter ceases to be effective or useable in connection with resales of Transfer Restricted Securities during the periods specified in the Registration Rights Agreement without being succeeded immediately by a post-effective amendment to such Shelf Registration Statement that cures such failure and is itself declared effective immediately (each such event referred to in clauses</w:t>
      </w:r>
    </w:p>
    <w:p>
      <w:pPr>
        <w:spacing w:after="0" w:line="10"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(c) above a "REGISTRATION DEFAULT"), then the Company will pay</w:t>
      </w:r>
    </w:p>
    <w:p>
      <w:pPr>
        <w:spacing w:after="0" w:line="7" w:lineRule="exact"/>
        <w:rPr>
          <w:rFonts w:ascii="Courier New" w:cs="Courier New" w:eastAsia="Courier New" w:hAnsi="Courier New"/>
          <w:sz w:val="15"/>
          <w:szCs w:val="15"/>
          <w:color w:val="auto"/>
        </w:rPr>
      </w:pPr>
    </w:p>
    <w:p>
      <w:pPr>
        <w:ind w:left="5"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special interest to each Holder of Transfer Restricted Securities as described below. Notwithstanding the foregoing, as set forth in the Registration Rights Agreement, the Company will be permitted to suspend use of the prospectus that is part of the Shelf Registration Statement during certain periods of time and in certain circumstances relating to pending corporate developments and public filings with the SEC and similar events, and such a suspension shall not be deemed a Registration Default provided it does not last in excess of 60 days in the aggregate during any 12-month period. With respect to the first 90-day period immediately following the occurrence of a Registration Default, the Company shall pay special interest to each Holder of Transfer Restricted Securities in an amount equal to an increase in the annual interest rate on the Notes of 0.25%</w:t>
      </w:r>
    </w:p>
    <w:p>
      <w:pPr>
        <w:spacing w:after="0" w:line="183"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25"/>
          </w:cols>
          <w:pgMar w:left="235" w:top="295" w:right="1440" w:bottom="1440" w:gutter="0" w:footer="0" w:header="0"/>
        </w:sectPr>
      </w:pPr>
    </w:p>
    <w:bookmarkStart w:id="143" w:name="page144"/>
    <w:bookmarkEnd w:id="143"/>
    <w:p>
      <w:pPr>
        <w:ind w:left="285"/>
        <w:spacing w:after="0"/>
        <w:rPr>
          <w:sz w:val="20"/>
          <w:szCs w:val="20"/>
          <w:color w:val="auto"/>
        </w:rPr>
      </w:pPr>
      <w:r>
        <w:rPr>
          <w:rFonts w:ascii="Courier New" w:cs="Courier New" w:eastAsia="Courier New" w:hAnsi="Courier New"/>
          <w:sz w:val="15"/>
          <w:szCs w:val="15"/>
          <w:color w:val="auto"/>
        </w:rPr>
        <w:t>98</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("SPECIAL INTEREST") and with respect to each subsequent 90-day period, additional amounts equal to an increase in the annual interest rate on the Notes of 0.25% until all Registration Defaults have been cured, up to a maximum increase in the annual interest rate on the Notes equal to 1.0%. In the event that this Note, or any portion thereof, shall have been converted into shares of Common Stock pursuant to Section 12 hereof, the amount payable under this Section 2 per share of Common Stock so converted shall be determined by dividing</w:t>
      </w:r>
    </w:p>
    <w:p>
      <w:pPr>
        <w:spacing w:after="0" w:line="3" w:lineRule="exact"/>
        <w:rPr>
          <w:sz w:val="20"/>
          <w:szCs w:val="20"/>
          <w:color w:val="auto"/>
        </w:rPr>
      </w:pPr>
    </w:p>
    <w:p>
      <w:pPr>
        <w:ind w:left="5" w:right="2839" w:hanging="5"/>
        <w:spacing w:after="0" w:line="250" w:lineRule="auto"/>
        <w:tabs>
          <w:tab w:leader="none" w:pos="37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that would have been payable hereunder on the aggregate principal amount so converted by (y) the number of shares of Common Stock issued upon such conversion. All accrued Special Interest shall be paid by the Company on each Interest Payment Date for which Special Interest is owed to the holders of Transfer Restricted Securities by wire transfer of immediately available funds or by federal funds check. Following the cure of all Registration Defaults, the application of Special Interest will cease. THE PROVISIONS OF THIS SECTION 2 SHALL SURVIVE ANY CONVERSION OF THE NOTES INTO SHARES OF COMMON STOCK PURSUANT TO SECTION 12 HEREOF, AND MAY BE ENFORCED BY THE HOLDER OF COMMON STOCK ISSUED UPON CONVERSION OF THIS NOTE.</w:t>
      </w:r>
    </w:p>
    <w:p>
      <w:pPr>
        <w:spacing w:after="0" w:line="182" w:lineRule="exact"/>
        <w:rPr>
          <w:sz w:val="20"/>
          <w:szCs w:val="20"/>
          <w:color w:val="auto"/>
        </w:rPr>
      </w:pPr>
    </w:p>
    <w:p>
      <w:pPr>
        <w:ind w:left="5" w:right="2839" w:hanging="5"/>
        <w:spacing w:after="0" w:line="251" w:lineRule="auto"/>
        <w:tabs>
          <w:tab w:leader="none" w:pos="28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All payments made by the Company on this Note shall be made without deduction or withholding for or on account of, any and all present or future taxes, duties, assessments, or governmental charges of whatever nature unless the deduction or withholding of such taxes, duties, assessments or government charges is then required by law.</w:t>
      </w:r>
    </w:p>
    <w:p>
      <w:pPr>
        <w:spacing w:after="0" w:line="176" w:lineRule="exact"/>
        <w:rPr>
          <w:rFonts w:ascii="Courier New" w:cs="Courier New" w:eastAsia="Courier New" w:hAnsi="Courier New"/>
          <w:sz w:val="15"/>
          <w:szCs w:val="15"/>
          <w:color w:val="auto"/>
        </w:rPr>
      </w:pPr>
    </w:p>
    <w:p>
      <w:pPr>
        <w:ind w:left="5" w:right="2839" w:hanging="5"/>
        <w:spacing w:after="0" w:line="250" w:lineRule="auto"/>
        <w:tabs>
          <w:tab w:leader="none" w:pos="28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Company will pay interest on the Notes (except defaulted interest) to the Persons who are registered Holders of Notes at the close of business on the record date for the next interest payment date even though Notes are canceled after the record date and on or before the interest payment date. Holders must surrender Notes to a Paying Agent to collect principal and premium payments. The Company will pay principal, premium, if any, interest, and Special Interest, if any, in money of the United States that at the time of payment is legal tender for payment of public and private debts. However, the Company may pay principal, premium, if any, interest and Special Interest, if any, by check payable in such money. It may mail an interest or Special Interest check to a Holder's registered address. Upon the request of a Holder who holds an aggregate principal amount of at least $5.0 million, principal, premium, if any, interest, and Special Interest, if any, shall be paid by wire transfer of immediately available funds to an account previously specified in writing by such Holder to the Company and the Trustee.</w:t>
      </w:r>
    </w:p>
    <w:p>
      <w:pPr>
        <w:spacing w:after="0" w:line="184" w:lineRule="exact"/>
        <w:rPr>
          <w:rFonts w:ascii="Courier New" w:cs="Courier New" w:eastAsia="Courier New" w:hAnsi="Courier New"/>
          <w:sz w:val="15"/>
          <w:szCs w:val="15"/>
          <w:color w:val="auto"/>
        </w:rPr>
      </w:pPr>
    </w:p>
    <w:p>
      <w:pPr>
        <w:ind w:left="5" w:right="2939" w:hanging="5"/>
        <w:spacing w:after="0" w:line="251" w:lineRule="auto"/>
        <w:tabs>
          <w:tab w:leader="none" w:pos="28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AGENT, CONVERSION AGENT AND REGISTRAR. The Trustee will act as Paying Agent, Conversion Agent and Registrar and will maintain an office or agency in the City of New York, New York at which the notes may be presented for payment, transfer or exchange. The Company may change any Paying Agent, Conversion Agent or Registrar without prior notice. The Company or any of its Affiliates may act in any such capacity.</w:t>
      </w:r>
    </w:p>
    <w:p>
      <w:pPr>
        <w:spacing w:after="0" w:line="175" w:lineRule="exact"/>
        <w:rPr>
          <w:rFonts w:ascii="Courier New" w:cs="Courier New" w:eastAsia="Courier New" w:hAnsi="Courier New"/>
          <w:sz w:val="15"/>
          <w:szCs w:val="15"/>
          <w:color w:val="auto"/>
        </w:rPr>
      </w:pPr>
    </w:p>
    <w:p>
      <w:pPr>
        <w:ind w:left="5" w:right="2839" w:hanging="5"/>
        <w:spacing w:after="0" w:line="250" w:lineRule="auto"/>
        <w:tabs>
          <w:tab w:leader="none" w:pos="28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The Company issued the Notes under an Indenture, dated as of June 20, 2000 (the "INDENTURE"), between the Company and State Street Bank and Trust Company, as Trustee. Capitalized terms herein are used as defined in the Indenture unless otherwise defined herein. The terms of the Notes include those stated in the Indenture and those made part of the Indenture by the Trust Indenture Act of 1939 (15 U.S. Code Sections 77aaa-77bbbb) (the "TIA") as in effect on the date of the Indenture. The Notes are subject to, and qualified by, all such terms, certain of which are summarized hereon, and Holders are referred to the Indenture and such Act for a statement of such terms. The Notes are unsecured general obligations of the Company limited to</w:t>
      </w:r>
    </w:p>
    <w:p>
      <w:pPr>
        <w:spacing w:after="0" w:line="18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25"/>
          </w:cols>
          <w:pgMar w:left="235" w:top="295" w:right="1440" w:bottom="1440" w:gutter="0" w:footer="0" w:header="0"/>
        </w:sectPr>
      </w:pPr>
    </w:p>
    <w:bookmarkStart w:id="144" w:name="page145"/>
    <w:bookmarkEnd w:id="144"/>
    <w:p>
      <w:pPr>
        <w:ind w:left="285"/>
        <w:spacing w:after="0"/>
        <w:rPr>
          <w:sz w:val="20"/>
          <w:szCs w:val="20"/>
          <w:color w:val="auto"/>
        </w:rPr>
      </w:pPr>
      <w:r>
        <w:rPr>
          <w:rFonts w:ascii="Courier New" w:cs="Courier New" w:eastAsia="Courier New" w:hAnsi="Courier New"/>
          <w:sz w:val="15"/>
          <w:szCs w:val="15"/>
          <w:color w:val="auto"/>
        </w:rPr>
        <w:t>99</w:t>
      </w:r>
    </w:p>
    <w:p>
      <w:pPr>
        <w:spacing w:after="0" w:line="8" w:lineRule="exact"/>
        <w:rPr>
          <w:sz w:val="20"/>
          <w:szCs w:val="20"/>
          <w:color w:val="auto"/>
        </w:rPr>
      </w:pPr>
    </w:p>
    <w:p>
      <w:pPr>
        <w:ind w:left="5" w:right="2939"/>
        <w:spacing w:after="0" w:line="253" w:lineRule="auto"/>
        <w:rPr>
          <w:sz w:val="20"/>
          <w:szCs w:val="20"/>
          <w:color w:val="auto"/>
        </w:rPr>
      </w:pPr>
      <w:r>
        <w:rPr>
          <w:rFonts w:ascii="Courier New" w:cs="Courier New" w:eastAsia="Courier New" w:hAnsi="Courier New"/>
          <w:sz w:val="15"/>
          <w:szCs w:val="15"/>
          <w:color w:val="auto"/>
        </w:rPr>
        <w:t>$300,000,000 in aggregate principal amount and subordinated in right of payment to all existing and future Senior Debt of the Company.</w:t>
      </w:r>
    </w:p>
    <w:p>
      <w:pPr>
        <w:spacing w:after="0" w:line="174" w:lineRule="exact"/>
        <w:rPr>
          <w:sz w:val="20"/>
          <w:szCs w:val="20"/>
          <w:color w:val="auto"/>
        </w:rPr>
      </w:pPr>
    </w:p>
    <w:p>
      <w:pPr>
        <w:jc w:val="both"/>
        <w:ind w:left="5" w:right="3019" w:hanging="5"/>
        <w:spacing w:after="0" w:line="250" w:lineRule="auto"/>
        <w:tabs>
          <w:tab w:leader="none" w:pos="28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At any time on or after July 3, 2003 the Company may redeem any portion of the Notes, in whole or in part, upon not less than 30 nor more than</w:t>
      </w:r>
    </w:p>
    <w:p>
      <w:pPr>
        <w:ind w:left="5" w:right="2839" w:hanging="5"/>
        <w:spacing w:after="0" w:line="251" w:lineRule="auto"/>
        <w:tabs>
          <w:tab w:leader="none" w:pos="28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notice, at the redemption prices (expressed as percentages of principal amount thereof), together with accrued and unpaid interest and Special Interest thereon to, but excluding, the applicable redemption date. If redeemed during the period beginning July 3, 2003 and ending on June 30, 2004, the redemption price shall be 103.143%, and if redeemed during the 12-month period commencing on July 1 of each of the following years, up to the maturity date the redemption price shall be the corresponding percentage of principal set forth below:</w:t>
      </w:r>
    </w:p>
    <w:p>
      <w:pPr>
        <w:spacing w:after="0" w:line="200" w:lineRule="exact"/>
        <w:rPr>
          <w:sz w:val="20"/>
          <w:szCs w:val="20"/>
          <w:color w:val="auto"/>
        </w:rPr>
      </w:pPr>
    </w:p>
    <w:p>
      <w:pPr>
        <w:spacing w:after="0" w:line="330" w:lineRule="exact"/>
        <w:rPr>
          <w:sz w:val="20"/>
          <w:szCs w:val="20"/>
          <w:color w:val="auto"/>
        </w:rPr>
      </w:pPr>
    </w:p>
    <w:tbl>
      <w:tblPr>
        <w:tblLayout w:type="fixed"/>
        <w:tblInd w:w="825" w:type="dxa"/>
        <w:tblCellMar>
          <w:top w:w="0" w:type="dxa"/>
          <w:left w:w="0" w:type="dxa"/>
          <w:bottom w:w="0" w:type="dxa"/>
          <w:right w:w="0" w:type="dxa"/>
        </w:tblCellMar>
      </w:tblP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520" w:type="dxa"/>
            <w:vAlign w:val="bottom"/>
          </w:tcPr>
          <w:p>
            <w:pPr>
              <w:spacing w:after="0"/>
              <w:rPr>
                <w:sz w:val="14"/>
                <w:szCs w:val="14"/>
                <w:color w:val="auto"/>
              </w:rPr>
            </w:pPr>
          </w:p>
        </w:tc>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Redemption Price</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July 1, 2004 - June 30, 2005</w:t>
            </w:r>
          </w:p>
        </w:tc>
        <w:tc>
          <w:tcPr>
            <w:tcW w:w="53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102.357%</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July 1, 2005</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 June 30, 2006</w:t>
            </w:r>
          </w:p>
        </w:tc>
        <w:tc>
          <w:tcPr>
            <w:tcW w:w="53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101.571%</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July 1, 2006</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 June 30, 2007</w:t>
            </w:r>
          </w:p>
        </w:tc>
        <w:tc>
          <w:tcPr>
            <w:tcW w:w="53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100.786%</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July 1, 2007</w:t>
            </w:r>
          </w:p>
        </w:tc>
        <w:tc>
          <w:tcPr>
            <w:tcW w:w="1520" w:type="dxa"/>
            <w:vAlign w:val="bottom"/>
          </w:tcPr>
          <w:p>
            <w:pPr>
              <w:ind w:left="40"/>
              <w:spacing w:after="0"/>
              <w:rPr>
                <w:sz w:val="20"/>
                <w:szCs w:val="20"/>
                <w:color w:val="auto"/>
              </w:rPr>
            </w:pPr>
            <w:r>
              <w:rPr>
                <w:rFonts w:ascii="Courier New" w:cs="Courier New" w:eastAsia="Courier New" w:hAnsi="Courier New"/>
                <w:sz w:val="5"/>
                <w:szCs w:val="5"/>
                <w:color w:val="auto"/>
                <w:w w:val="81"/>
              </w:rPr>
              <w:t>............................................................</w:t>
            </w:r>
          </w:p>
        </w:tc>
        <w:tc>
          <w:tcPr>
            <w:tcW w:w="53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100.000%</w:t>
            </w:r>
          </w:p>
        </w:tc>
      </w:tr>
    </w:tbl>
    <w:p>
      <w:pPr>
        <w:spacing w:after="0" w:line="360"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In the event the Company redeems less than all of the outstanding Notes, the Notes to be redeemed shall be selected by the Trustee in accordance with Section 3.02 of the Indenture. In the event a portion of an outstanding Note is selected for redemption and such Note is converted in part after such selection, the converted portion of such Note shall be deemed (so far as may be) to be the portion to be selected for redemption in accordance with Section 3.02 of the Indenture. The Company may not give notice of any redemption if the Company has defaulted in payment of interest and the default is continuing.</w:t>
      </w:r>
    </w:p>
    <w:p>
      <w:pPr>
        <w:spacing w:after="0" w:line="175" w:lineRule="exact"/>
        <w:rPr>
          <w:sz w:val="20"/>
          <w:szCs w:val="20"/>
          <w:color w:val="auto"/>
        </w:rPr>
      </w:pPr>
    </w:p>
    <w:p>
      <w:pPr>
        <w:ind w:left="5" w:right="3019" w:firstLine="825"/>
        <w:spacing w:after="0" w:line="251" w:lineRule="auto"/>
        <w:tabs>
          <w:tab w:leader="none" w:pos="111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 Notice of redemption will be mailed at least 30 days but not more than 60 days before the redemption date to each Holder of the Notes to be redeemed at his address of record. The Notes in denominations larger than $1,000 may be redeemed in part but only in integral multiples of $1,000. In the event of a redemption of less than all of the Notes, the Notes will be chosen for redemption by the Trustee in accordance with the Indenture. On and after the redemption date, interest ceases to accrue on the Notes or portions of them called for redemption.</w:t>
      </w:r>
    </w:p>
    <w:p>
      <w:pPr>
        <w:spacing w:after="0" w:line="17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If this Note is redeemed subsequent to a record date with respect to any interest payment date specified above and on or prior to such interest payment date, then any accrued interest will be paid to the Person in whose name this Note is registered at the close of business on such record date.</w:t>
      </w:r>
    </w:p>
    <w:p>
      <w:pPr>
        <w:spacing w:after="0" w:line="176" w:lineRule="exact"/>
        <w:rPr>
          <w:sz w:val="20"/>
          <w:szCs w:val="20"/>
          <w:color w:val="auto"/>
        </w:rPr>
      </w:pPr>
    </w:p>
    <w:p>
      <w:pPr>
        <w:ind w:left="5" w:right="2839" w:firstLine="825"/>
        <w:spacing w:after="0" w:line="252" w:lineRule="auto"/>
        <w:tabs>
          <w:tab w:leader="none" w:pos="111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REDEMPTION. The Company will not be required to make mandatory redemption or repurchase payments with respect to the Notes. There are no sinking fund payments with respect to the Notes.</w:t>
      </w:r>
    </w:p>
    <w:p>
      <w:pPr>
        <w:spacing w:after="0" w:line="174" w:lineRule="exact"/>
        <w:rPr>
          <w:rFonts w:ascii="Courier New" w:cs="Courier New" w:eastAsia="Courier New" w:hAnsi="Courier New"/>
          <w:sz w:val="15"/>
          <w:szCs w:val="15"/>
          <w:color w:val="auto"/>
        </w:rPr>
      </w:pPr>
    </w:p>
    <w:p>
      <w:pPr>
        <w:ind w:left="5" w:right="2939" w:firstLine="825"/>
        <w:spacing w:after="0" w:line="251" w:lineRule="auto"/>
        <w:tabs>
          <w:tab w:leader="none" w:pos="120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AT OPTION OF HOLDER. If there is a Fundamental Change, the Company shall be required to offer to purchase on the Purchase Date all outstanding Notes at a purchase price equal to 100% of the aggregate principal amount thereof, plus accrued and unpaid interest and Special Interest, if any, to the Purchase Date. Holders of Notes that are subject to an offer to purchase will receive a Fundamental Change Offer from the Company in accordance with</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25"/>
          </w:cols>
          <w:pgMar w:left="235" w:top="295"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100</w:t>
      </w:r>
    </w:p>
    <w:p>
      <w:pPr>
        <w:spacing w:after="0" w:line="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Section 3.09 of the Indenture and may elect to have such Notes or portions thereof in authorized denominations purchased by completing the form entitled "Option of Holder to Elect Purchase" appearing below.</w:t>
      </w:r>
    </w:p>
    <w:p>
      <w:pPr>
        <w:spacing w:after="0" w:line="175" w:lineRule="exact"/>
        <w:rPr>
          <w:sz w:val="20"/>
          <w:szCs w:val="20"/>
          <w:color w:val="auto"/>
        </w:rPr>
      </w:pPr>
    </w:p>
    <w:p>
      <w:pPr>
        <w:ind w:right="2839" w:firstLine="825"/>
        <w:spacing w:after="0" w:line="251" w:lineRule="auto"/>
        <w:tabs>
          <w:tab w:leader="none" w:pos="12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The payment of the principal of, interest on, Special Interest or any other amounts due on the Notes is subordinated in right of payment to all existing and future Senior Debt of the Company, as described in the Indenture. Each Holder, by accepting a Note, agrees to such subordination and authorizes and directs the Trustee on its behalf to take such action as may be necessary or appropriate to effectuate the subordination so provided and appoints the Trustee as its attorney-in-fact for such purpose.</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2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holder of any Note has the right, exercisable at any time following the Issuance Date and prior to the close of business (New York time) on the date of the Note's maturity, to convert the principal amount thereof (or any portion thereof that is an integral multiple of $1,000) into shares of Common Stock at the initial Conversion Price of $115.47 per share, subject to adjustment under certain circumstances as set forth in the Indenture, except that if a Note is called for redemption, the conversion right will terminate at the close of business on the Business Day immediately preceding the date fixed for redemption.</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To convert a Note, a holder must (1) complete and sign a conversion notice substantially in the form set forth below, (2) surrender the Note to a Conversion Agent, (3) furnish appropriate endorsements or transfer documents if required by the Registrar or Conversion Agent and (4) pay any transfer or similar tax, if required. No payment or adjustment will be made for accrued and unpaid interest on a converted Note, but if any holder surrenders a Note for conversion after the close of business on the record date for the payment of an installment of interest and prior to the opening of business on the next interest payment date, then, notwithstanding such conversion, the interest payable on such interest payment date shall be paid to the holder of such Note on such record date. Any Notes that are, however, delivered to the Company for conversion after any record date but before the next interest payment date must, except as described in the next sentence, be accompanied by a payment equal to the interest payable on such interest payment date on the principal amount of such Notes being converted. Payments to the Company described in the preceding sentence shall not be required if, during that period between a record date and the next interest payment date, a conversion occurs on or after the date that the Company has issued a redemption notice and prior to the date of redemption stated in such notice. If any Notes are converted after an interest payment date but on or before the next record date, no interest will be paid on those Notes. The number of shares issuable upon conversion of a Note is determined by dividing the principal amount of the Note converted by the Conversion Price in effect on the Conversion Date. No fractional shares will be issued upon conversion but a cash adjustment will be made for any fractional interest.</w:t>
      </w:r>
    </w:p>
    <w:p>
      <w:pPr>
        <w:spacing w:after="0" w:line="188"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A note in respect of which a holder has delivered an "Option of Holder to Elect Purchase" form appearing below exercising the option of such holder to require the Company to purchase such Note may be converted only if the notice of exercise is withdrawn as provided above and in accordance with the terms of the Indenture. The above description of conversion of the Notes is qualified by reference to, and is subject in its entirety by, the more complete description thereof contained in the Indenture.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295"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5"/>
          <w:szCs w:val="15"/>
          <w:color w:val="auto"/>
        </w:rPr>
        <w:t>101</w:t>
      </w:r>
    </w:p>
    <w:p>
      <w:pPr>
        <w:spacing w:after="0" w:line="8" w:lineRule="exact"/>
        <w:rPr>
          <w:sz w:val="20"/>
          <w:szCs w:val="20"/>
          <w:color w:val="auto"/>
        </w:rPr>
      </w:pPr>
    </w:p>
    <w:p>
      <w:pPr>
        <w:ind w:left="-280" w:right="2939" w:firstLine="825"/>
        <w:spacing w:after="0" w:line="250" w:lineRule="auto"/>
        <w:tabs>
          <w:tab w:leader="none" w:pos="9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TRANSFER, EXCHANGE. The notes are in registered form, without coupons, in denominations of $1,000 and integral multiples of $1,000. The transfer of Notes may be registered, and Notes may be exchanged, as provided in the Indenture. The Registrar may require a Holder, among other things, to furnish appropriate endorsements and transfer documents and to pay any taxes and fees required by law or permitted by the Indenture. The Registrar need not exchange or register the transfer of any Note or portion of a Note selected for redemption (except the unredeemed portion of any Note being redeemed in part). Also, it need not exchange or register the transfer of any Note for a period of 15 days before a selection of Notes to be redeemed.</w:t>
      </w:r>
    </w:p>
    <w:p>
      <w:pPr>
        <w:spacing w:after="0" w:line="181" w:lineRule="exact"/>
        <w:rPr>
          <w:rFonts w:ascii="Courier New" w:cs="Courier New" w:eastAsia="Courier New" w:hAnsi="Courier New"/>
          <w:sz w:val="15"/>
          <w:szCs w:val="15"/>
          <w:color w:val="auto"/>
        </w:rPr>
      </w:pPr>
    </w:p>
    <w:p>
      <w:pPr>
        <w:ind w:left="-280" w:right="3399" w:firstLine="825"/>
        <w:spacing w:after="0" w:line="253" w:lineRule="auto"/>
        <w:tabs>
          <w:tab w:leader="none" w:pos="9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DEEMED OWNERS. The registered Holder of a Note may be treated as its owner for all purposes.</w:t>
      </w:r>
    </w:p>
    <w:p>
      <w:pPr>
        <w:spacing w:after="0" w:line="174" w:lineRule="exact"/>
        <w:rPr>
          <w:rFonts w:ascii="Courier New" w:cs="Courier New" w:eastAsia="Courier New" w:hAnsi="Courier New"/>
          <w:sz w:val="15"/>
          <w:szCs w:val="15"/>
          <w:color w:val="auto"/>
        </w:rPr>
      </w:pPr>
    </w:p>
    <w:p>
      <w:pPr>
        <w:ind w:left="-280" w:right="2839" w:firstLine="825"/>
        <w:spacing w:after="0" w:line="251" w:lineRule="auto"/>
        <w:tabs>
          <w:tab w:leader="none" w:pos="9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UNCLAIMED MONEY. If money for the payment of principal or interest remains unclaimed for two years, the Trustee and the Paying Agent shall pay the money back to the Company at its written request. After that, Holders of Notes entitled to the money must look to the Company for payment unless an abandoned property law designates another Person and all liability of the Trustee and such Paying Agent with respect to such money shall cease.</w:t>
      </w:r>
    </w:p>
    <w:p>
      <w:pPr>
        <w:spacing w:after="0" w:line="175" w:lineRule="exact"/>
        <w:rPr>
          <w:rFonts w:ascii="Courier New" w:cs="Courier New" w:eastAsia="Courier New" w:hAnsi="Courier New"/>
          <w:sz w:val="15"/>
          <w:szCs w:val="15"/>
          <w:color w:val="auto"/>
        </w:rPr>
      </w:pPr>
    </w:p>
    <w:p>
      <w:pPr>
        <w:ind w:left="-280" w:right="2839" w:firstLine="825"/>
        <w:spacing w:after="0" w:line="250" w:lineRule="auto"/>
        <w:tabs>
          <w:tab w:leader="none" w:pos="9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AND REMEDIES. The Notes shall have the Events of Default set forth in Section 8.01 of the Indenture. Subject to certain limitations in the Indenture, if an Event of Default occurs and is continuing, the Trustee by notice to the Company or the Holders of at least 25% in aggregate principal amount of the then outstanding Notes by notice to the Company and the Trustee may declare all the Notes to be due and payable immediately, except that in the case of an Event of Default arising from certain events of bankruptcy, insolvency or reorganization, all unpaid principal and interest accrued on the Notes shall become due and payable immediately without further action or notice. The Holders of a majority in principal amount of the Notes then outstanding by written notice to the Trustee may rescind an acceleration and its consequences if the rescission would not conflict with any judgment or decree and if all existing Events of Default have been cured or waived except nonpayment of principal or interest that has become due solely because of the acceleration. Holders may not enforce the Indenture or the Notes except as provided in the Indenture. Subject to certain limitations, Holders of a majority in principal amount of the then outstanding Notes issued under the Indenture may direct the Trustee in its exercise of any trust or power. The Company must furnish annually compliance certificates to the Trustee. The above description of Events of Default and remedies is qualified by reference, and subject in its entirety, to the more complete description thereof contained in the Indenture.</w:t>
      </w:r>
    </w:p>
    <w:p>
      <w:pPr>
        <w:spacing w:after="0" w:line="186" w:lineRule="exact"/>
        <w:rPr>
          <w:rFonts w:ascii="Courier New" w:cs="Courier New" w:eastAsia="Courier New" w:hAnsi="Courier New"/>
          <w:sz w:val="15"/>
          <w:szCs w:val="15"/>
          <w:color w:val="auto"/>
        </w:rPr>
      </w:pPr>
    </w:p>
    <w:p>
      <w:pPr>
        <w:ind w:left="-280" w:right="2839" w:firstLine="825"/>
        <w:spacing w:after="0" w:line="250" w:lineRule="auto"/>
        <w:tabs>
          <w:tab w:leader="none" w:pos="9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SUPPLEMENTS AND WAIVERS. Subject to certain exceptions, the Indenture or the Notes may be amended or supplemented with the consent of the Holders of at least a majority in principal amount of the then outstanding Notes (including consents obtained in connection with a tender offer or exchange offer for Notes), and any existing default may be waived with the consent of the Holders of a majority in principal amount of the then outstanding Notes. Without the consent of any Holder, the Indenture or the Notes may be amended, among other reasons, to cure any ambiguity, defect or inconsistency, to provide for uncertificated Notes in addition to or in place of certificated Notes, to provide for assumption of the Company's obligations to Holders, to make any change that does not adversely affect the rights of any Holder or to qualify the Indenture under the TIA or to comply with the requirements of the SEC in order to maintain the qualification of the Indenture under the TIA.</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9939"/>
          </w:cols>
          <w:pgMar w:left="520" w:top="295"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102</w:t>
      </w:r>
    </w:p>
    <w:p>
      <w:pPr>
        <w:spacing w:after="0" w:line="8" w:lineRule="exact"/>
        <w:rPr>
          <w:sz w:val="20"/>
          <w:szCs w:val="20"/>
          <w:color w:val="auto"/>
        </w:rPr>
      </w:pPr>
    </w:p>
    <w:p>
      <w:pPr>
        <w:ind w:right="2939" w:firstLine="825"/>
        <w:spacing w:after="0" w:line="251" w:lineRule="auto"/>
        <w:tabs>
          <w:tab w:leader="none" w:pos="12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DEALINGS WITH THE COMPANY. The Trustee, in its individual or any other capacity may become the owner or pledgee of the Notes and may otherwise deal with the Company or an Affiliate with the same rights it would have, as if it were not Trustee, subject to certain limitations provided for in the Indenture and in the TIA. Any Agent may do the same with like rights.</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2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AGAINST OTHERS. A director, officer, employee, incorporator or shareholder of the Company, as such, shall not have any liability for any obligations of the Company under the Notes or the Indenture or for any claim based on, in respect of or by reason of such obligations or their creation. Each Holder of the Notes by accepting a Note waives and releases all such liability. The waiver and release are part of the consideration for the issue of the Notes.</w:t>
      </w:r>
    </w:p>
    <w:p>
      <w:pPr>
        <w:spacing w:after="0" w:line="175" w:lineRule="exact"/>
        <w:rPr>
          <w:rFonts w:ascii="Courier New" w:cs="Courier New" w:eastAsia="Courier New" w:hAnsi="Courier New"/>
          <w:sz w:val="15"/>
          <w:szCs w:val="15"/>
          <w:color w:val="auto"/>
        </w:rPr>
      </w:pPr>
    </w:p>
    <w:p>
      <w:pPr>
        <w:ind w:right="2939" w:firstLine="825"/>
        <w:spacing w:after="0" w:line="252" w:lineRule="auto"/>
        <w:tabs>
          <w:tab w:leader="none" w:pos="12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INTERNAL LAWS OF THE STATE OF NEW YORK SHALL GOVERN THE INDENTURE AND THE NOTES WITHOUT REGARD TO CONFLICT OF LAW PROVISIONS THEREOF.</w:t>
      </w:r>
    </w:p>
    <w:p>
      <w:pPr>
        <w:spacing w:after="0" w:line="174" w:lineRule="exact"/>
        <w:rPr>
          <w:rFonts w:ascii="Courier New" w:cs="Courier New" w:eastAsia="Courier New" w:hAnsi="Courier New"/>
          <w:sz w:val="15"/>
          <w:szCs w:val="15"/>
          <w:color w:val="auto"/>
        </w:rPr>
      </w:pPr>
    </w:p>
    <w:p>
      <w:pPr>
        <w:ind w:right="2839" w:firstLine="825"/>
        <w:spacing w:after="0" w:line="252" w:lineRule="auto"/>
        <w:tabs>
          <w:tab w:leader="none" w:pos="12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AUTHENTICATION. The Notes shall not be valid until authenticated by the manual signature of an authorized officer of the Trustee or an authenticating agent.</w:t>
      </w:r>
    </w:p>
    <w:p>
      <w:pPr>
        <w:spacing w:after="0" w:line="174" w:lineRule="exact"/>
        <w:rPr>
          <w:rFonts w:ascii="Courier New" w:cs="Courier New" w:eastAsia="Courier New" w:hAnsi="Courier New"/>
          <w:sz w:val="15"/>
          <w:szCs w:val="15"/>
          <w:color w:val="auto"/>
        </w:rPr>
      </w:pPr>
    </w:p>
    <w:p>
      <w:pPr>
        <w:ind w:right="2839" w:firstLine="825"/>
        <w:spacing w:after="0" w:line="252" w:lineRule="auto"/>
        <w:tabs>
          <w:tab w:leader="none" w:pos="12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351" w:lineRule="exact"/>
        <w:rPr>
          <w:sz w:val="20"/>
          <w:szCs w:val="20"/>
          <w:color w:val="auto"/>
        </w:rPr>
      </w:pPr>
    </w:p>
    <w:p>
      <w:pPr>
        <w:ind w:right="2939" w:firstLine="1661"/>
        <w:spacing w:after="0" w:line="252" w:lineRule="auto"/>
        <w:rPr>
          <w:sz w:val="20"/>
          <w:szCs w:val="20"/>
          <w:color w:val="auto"/>
        </w:rPr>
      </w:pPr>
      <w:r>
        <w:rPr>
          <w:rFonts w:ascii="Courier New" w:cs="Courier New" w:eastAsia="Courier New" w:hAnsi="Courier New"/>
          <w:sz w:val="15"/>
          <w:szCs w:val="15"/>
          <w:color w:val="auto"/>
        </w:rPr>
        <w:t>The Company will furnish to any Holder of the Notes upon written request and without charge a copy of the Indenture. Request may be made to:</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Akamai Technologies,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500 Technology Square</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Cambridge, Massachusetts 02139</w:t>
      </w:r>
    </w:p>
    <w:p>
      <w:pPr>
        <w:spacing w:after="0" w:line="8" w:lineRule="exact"/>
        <w:rPr>
          <w:sz w:val="20"/>
          <w:szCs w:val="20"/>
          <w:color w:val="auto"/>
        </w:rPr>
      </w:pPr>
    </w:p>
    <w:p>
      <w:pPr>
        <w:ind w:left="1660"/>
        <w:spacing w:after="0"/>
        <w:tabs>
          <w:tab w:leader="none" w:pos="274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19"/>
          </w:cols>
          <w:pgMar w:left="240" w:top="295"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103</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ASSIGNMENT FORM</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TO ASSIGN THIS NOTE, FILL IN THE FORM BELOW:</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 ASSIGNMENT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or we, assign this Note to:</w:t>
      </w:r>
    </w:p>
    <w:p>
      <w:pPr>
        <w:spacing w:after="0" w:line="36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_______________________________________________________________________</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(Print or type name, address and zip code of assignee)</w:t>
      </w:r>
    </w:p>
    <w:p>
      <w:pPr>
        <w:spacing w:after="0" w:line="36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_______________________________________________________________________</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(Please insert Social Security or other identifying number of assignee)</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irrevocably appoint _______________ agent to transfer this Note on the books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 The agent may substitute another to act for him.</w:t>
      </w:r>
    </w:p>
    <w:p>
      <w:pPr>
        <w:spacing w:after="0" w:line="200" w:lineRule="exact"/>
        <w:rPr>
          <w:sz w:val="20"/>
          <w:szCs w:val="20"/>
          <w:color w:val="auto"/>
        </w:rPr>
      </w:pPr>
    </w:p>
    <w:p>
      <w:pPr>
        <w:spacing w:after="0" w:line="340"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5"/>
          <w:szCs w:val="15"/>
          <w:color w:val="auto"/>
        </w:rPr>
        <w:t>Dated:_______________________</w:t>
      </w:r>
      <w:r>
        <w:rPr>
          <w:sz w:val="20"/>
          <w:szCs w:val="20"/>
          <w:color w:val="auto"/>
        </w:rPr>
        <w:tab/>
      </w:r>
      <w:r>
        <w:rPr>
          <w:rFonts w:ascii="Courier New" w:cs="Courier New" w:eastAsia="Courier New" w:hAnsi="Courier New"/>
          <w:sz w:val="15"/>
          <w:szCs w:val="15"/>
          <w:color w:val="auto"/>
        </w:rPr>
        <w:t>Signed:________________________________________</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 exactly as your name appears on</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other side of this Note)</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Print Name:____________________________________</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Signature Guarantee:*__________________________</w:t>
      </w:r>
    </w:p>
    <w:p>
      <w:pPr>
        <w:spacing w:after="0" w:line="18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*Signatures must be guaranteed by a commercial bank, trust company or member firm of the New York Stock Exchange.</w:t>
      </w:r>
    </w:p>
    <w:p>
      <w:pPr>
        <w:spacing w:after="0" w:line="35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II. TRANSFEROR REPRESENTATIONS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 connection with any transfer of any of the Notes evidenced by this certificate occurring prior to the date that is two years after the later of the date of original issuance of such Notes and the last date, if any, on which such Notes were owned by the Company or any Affiliate of the company, the undersigned confirms that such Notes are being transferred:</w:t>
      </w:r>
    </w:p>
    <w:p>
      <w:pPr>
        <w:spacing w:after="0" w:line="200" w:lineRule="exact"/>
        <w:rPr>
          <w:sz w:val="20"/>
          <w:szCs w:val="20"/>
          <w:color w:val="auto"/>
        </w:rPr>
      </w:pPr>
    </w:p>
    <w:p>
      <w:pPr>
        <w:spacing w:after="0" w:line="33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19"/>
          </w:cols>
          <w:pgMar w:left="240" w:top="295" w:right="1440" w:bottom="1440" w:gutter="0" w:footer="0" w:header="0"/>
        </w:sectPr>
      </w:pPr>
    </w:p>
    <w:bookmarkStart w:id="149" w:name="page150"/>
    <w:bookmarkEnd w:id="149"/>
    <w:p>
      <w:pPr>
        <w:ind w:left="285"/>
        <w:spacing w:after="0"/>
        <w:rPr>
          <w:sz w:val="20"/>
          <w:szCs w:val="20"/>
          <w:color w:val="auto"/>
        </w:rPr>
      </w:pPr>
      <w:r>
        <w:rPr>
          <w:rFonts w:ascii="Courier New" w:cs="Courier New" w:eastAsia="Courier New" w:hAnsi="Courier New"/>
          <w:sz w:val="15"/>
          <w:szCs w:val="15"/>
          <w:color w:val="auto"/>
        </w:rPr>
        <w:t>104</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CHECK ONE BOX BELOW</w:t>
      </w:r>
    </w:p>
    <w:p>
      <w:pPr>
        <w:spacing w:after="0" w:line="185" w:lineRule="exact"/>
        <w:rPr>
          <w:sz w:val="20"/>
          <w:szCs w:val="20"/>
          <w:color w:val="auto"/>
        </w:rPr>
      </w:pPr>
    </w:p>
    <w:p>
      <w:pPr>
        <w:ind w:left="825" w:right="3119" w:hanging="825"/>
        <w:spacing w:after="0" w:line="253" w:lineRule="auto"/>
        <w:tabs>
          <w:tab w:leader="none" w:pos="364"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to the Company or any subsidiary thereof (attach Restricted Transfer Certificate),</w:t>
      </w:r>
    </w:p>
    <w:p>
      <w:pPr>
        <w:spacing w:after="0" w:line="174" w:lineRule="exact"/>
        <w:rPr>
          <w:rFonts w:ascii="Courier New" w:cs="Courier New" w:eastAsia="Courier New" w:hAnsi="Courier New"/>
          <w:sz w:val="15"/>
          <w:szCs w:val="15"/>
          <w:color w:val="auto"/>
        </w:rPr>
      </w:pPr>
    </w:p>
    <w:p>
      <w:pPr>
        <w:ind w:left="825" w:right="2839" w:hanging="825"/>
        <w:spacing w:after="0" w:line="253" w:lineRule="auto"/>
        <w:tabs>
          <w:tab w:leader="none" w:pos="364"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to a qualified institutional buyer in compliance with Rule 144A (attach Rule 144A Transfer Certificate),</w:t>
      </w:r>
    </w:p>
    <w:p>
      <w:pPr>
        <w:spacing w:after="0" w:line="174"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outside the United States in compliance with Rule 904 under the</w:t>
      </w:r>
    </w:p>
    <w:p>
      <w:pPr>
        <w:spacing w:after="0" w:line="7"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(attach Regulation S Transfer Certificate),</w:t>
      </w:r>
    </w:p>
    <w:p>
      <w:pPr>
        <w:spacing w:after="0" w:line="184" w:lineRule="exact"/>
        <w:rPr>
          <w:rFonts w:ascii="Courier New" w:cs="Courier New" w:eastAsia="Courier New" w:hAnsi="Courier New"/>
          <w:sz w:val="15"/>
          <w:szCs w:val="15"/>
          <w:color w:val="auto"/>
        </w:rPr>
      </w:pPr>
    </w:p>
    <w:p>
      <w:pPr>
        <w:ind w:left="825" w:right="2939" w:hanging="825"/>
        <w:spacing w:after="0" w:line="252" w:lineRule="auto"/>
        <w:tabs>
          <w:tab w:leader="none" w:pos="364"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pursuant to the exemption from registration provided by Rule 144 under the Securities Act (if available) (attach Restricted Transfer Certificate),</w:t>
      </w:r>
    </w:p>
    <w:p>
      <w:pPr>
        <w:spacing w:after="0" w:line="174" w:lineRule="exact"/>
        <w:rPr>
          <w:rFonts w:ascii="Courier New" w:cs="Courier New" w:eastAsia="Courier New" w:hAnsi="Courier New"/>
          <w:sz w:val="15"/>
          <w:szCs w:val="15"/>
          <w:color w:val="auto"/>
        </w:rPr>
      </w:pPr>
    </w:p>
    <w:p>
      <w:pPr>
        <w:ind w:left="825" w:right="2839" w:hanging="825"/>
        <w:spacing w:after="0" w:line="252" w:lineRule="auto"/>
        <w:tabs>
          <w:tab w:leader="none" w:pos="364"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to an institutional "accredited investor" (as defined in rule 501(a)(1), (2), (3), or (7) under the Securities Act (attach Accredited Investor Letter),</w:t>
      </w:r>
    </w:p>
    <w:p>
      <w:pPr>
        <w:spacing w:after="0" w:line="174" w:lineRule="exact"/>
        <w:rPr>
          <w:rFonts w:ascii="Courier New" w:cs="Courier New" w:eastAsia="Courier New" w:hAnsi="Courier New"/>
          <w:sz w:val="15"/>
          <w:szCs w:val="15"/>
          <w:color w:val="auto"/>
        </w:rPr>
      </w:pPr>
    </w:p>
    <w:p>
      <w:pPr>
        <w:ind w:left="825" w:right="2839" w:hanging="825"/>
        <w:spacing w:after="0" w:line="253" w:lineRule="auto"/>
        <w:tabs>
          <w:tab w:leader="none" w:pos="364"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in accordance with another exemption from the registration requirements of the Securities Act (attach legal opinion), or</w:t>
      </w:r>
    </w:p>
    <w:p>
      <w:pPr>
        <w:spacing w:after="0" w:line="174" w:lineRule="exact"/>
        <w:rPr>
          <w:rFonts w:ascii="Courier New" w:cs="Courier New" w:eastAsia="Courier New" w:hAnsi="Courier New"/>
          <w:sz w:val="15"/>
          <w:szCs w:val="15"/>
          <w:color w:val="auto"/>
        </w:rPr>
      </w:pPr>
    </w:p>
    <w:p>
      <w:pPr>
        <w:ind w:left="825" w:right="3119" w:hanging="825"/>
        <w:spacing w:after="0" w:line="253" w:lineRule="auto"/>
        <w:tabs>
          <w:tab w:leader="none" w:pos="364"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pursuant to an effective registration statement under the Securities Act.</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CHECK IF APPLICABLE</w:t>
      </w:r>
    </w:p>
    <w:p>
      <w:pPr>
        <w:spacing w:after="0" w:line="185" w:lineRule="exact"/>
        <w:rPr>
          <w:sz w:val="20"/>
          <w:szCs w:val="20"/>
          <w:color w:val="auto"/>
        </w:rPr>
      </w:pPr>
    </w:p>
    <w:p>
      <w:pPr>
        <w:ind w:left="825" w:right="3119" w:hanging="825"/>
        <w:spacing w:after="0" w:line="253" w:lineRule="auto"/>
        <w:tabs>
          <w:tab w:leader="none" w:pos="18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The undersigned represents and warrants that it is, or at some time during which it held this Security was, an Affiliate of the Company.</w:t>
      </w:r>
    </w:p>
    <w:p>
      <w:pPr>
        <w:spacing w:after="0" w:line="174" w:lineRule="exact"/>
        <w:rPr>
          <w:rFonts w:ascii="Courier New" w:cs="Courier New" w:eastAsia="Courier New" w:hAnsi="Courier New"/>
          <w:sz w:val="15"/>
          <w:szCs w:val="15"/>
          <w:color w:val="auto"/>
        </w:rPr>
      </w:pPr>
    </w:p>
    <w:p>
      <w:pPr>
        <w:ind w:left="825" w:right="2939" w:hanging="456"/>
        <w:spacing w:after="0" w:line="252" w:lineRule="auto"/>
        <w:tabs>
          <w:tab w:leader="none" w:pos="825"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above is checked and if the undersigned was not an Affiliate of the Company at all times during which it held this Note, indicate the periods during which the undersigned was an Affiliate of the Company:</w:t>
      </w:r>
    </w:p>
    <w:p>
      <w:pPr>
        <w:spacing w:after="0" w:line="174" w:lineRule="exact"/>
        <w:rPr>
          <w:rFonts w:ascii="Courier New" w:cs="Courier New" w:eastAsia="Courier New" w:hAnsi="Courier New"/>
          <w:sz w:val="15"/>
          <w:szCs w:val="15"/>
          <w:color w:val="auto"/>
        </w:rPr>
      </w:pPr>
    </w:p>
    <w:p>
      <w:pPr>
        <w:ind w:left="825" w:right="2839" w:hanging="456"/>
        <w:spacing w:after="0" w:line="252" w:lineRule="auto"/>
        <w:tabs>
          <w:tab w:leader="none" w:pos="825"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above is checked and if the Transferee will not pay the full purchase price for the transfer of this Note on or prior to the date of transfer, indicate when such purchase price will be paid:</w:t>
      </w:r>
    </w:p>
    <w:p>
      <w:pPr>
        <w:spacing w:after="0" w:line="200" w:lineRule="exact"/>
        <w:rPr>
          <w:sz w:val="20"/>
          <w:szCs w:val="20"/>
          <w:color w:val="auto"/>
        </w:rPr>
      </w:pPr>
    </w:p>
    <w:p>
      <w:pPr>
        <w:spacing w:after="0" w:line="329"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25"/>
          </w:cols>
          <w:pgMar w:left="235" w:top="295" w:right="1440" w:bottom="1440" w:gutter="0" w:footer="0" w:header="0"/>
        </w:sectPr>
      </w:pPr>
    </w:p>
    <w:bookmarkStart w:id="150" w:name="page151"/>
    <w:bookmarkEnd w:id="150"/>
    <w:p>
      <w:pPr>
        <w:ind w:left="285"/>
        <w:spacing w:after="0"/>
        <w:rPr>
          <w:sz w:val="20"/>
          <w:szCs w:val="20"/>
          <w:color w:val="auto"/>
        </w:rPr>
      </w:pPr>
      <w:r>
        <w:rPr>
          <w:rFonts w:ascii="Courier New" w:cs="Courier New" w:eastAsia="Courier New" w:hAnsi="Courier New"/>
          <w:sz w:val="15"/>
          <w:szCs w:val="15"/>
          <w:color w:val="auto"/>
        </w:rPr>
        <w:t>105</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THE UNDERSIGNED HEREBY AGREES THAT, UNLESS THE BOX ABOVE UNDER ITEM (A) IS CHECKED, THE UNDERSIGNED SHALL BE DEEMED TO HAVE REPRESENTED THAT IT IS NOT NOR HAS IT BEEN AT ANY TIME DURING WHICH IT HELD THIS NOTE AN AFFILIATE, AS DEFINED IN RULE 144 UNDER THE SECURITIES ACT OF 1933, AS AMENDED, OF THE COMPANY.</w:t>
      </w:r>
    </w:p>
    <w:p>
      <w:pPr>
        <w:spacing w:after="0" w:line="176"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8" w:lineRule="exact"/>
        <w:rPr>
          <w:sz w:val="20"/>
          <w:szCs w:val="20"/>
          <w:color w:val="auto"/>
        </w:rPr>
      </w:pPr>
    </w:p>
    <w:p>
      <w:pPr>
        <w:ind w:left="4885"/>
        <w:spacing w:after="0"/>
        <w:rPr>
          <w:sz w:val="20"/>
          <w:szCs w:val="20"/>
          <w:color w:val="auto"/>
        </w:rPr>
      </w:pPr>
      <w:r>
        <w:rPr>
          <w:rFonts w:ascii="Courier New" w:cs="Courier New" w:eastAsia="Courier New" w:hAnsi="Courier New"/>
          <w:sz w:val="15"/>
          <w:szCs w:val="15"/>
          <w:color w:val="auto"/>
        </w:rPr>
        <w:t>(Signature)</w:t>
      </w:r>
    </w:p>
    <w:p>
      <w:pPr>
        <w:spacing w:after="0" w:line="36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Signature Guarantee*____________________</w:t>
      </w:r>
    </w:p>
    <w:p>
      <w:pPr>
        <w:spacing w:after="0" w:line="185" w:lineRule="exact"/>
        <w:rPr>
          <w:sz w:val="20"/>
          <w:szCs w:val="20"/>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*Signatures must be guaranteed by a commercial bank, trust company or member firm of the New York Stock Exchange.</w:t>
      </w:r>
    </w:p>
    <w:p>
      <w:pPr>
        <w:spacing w:after="0" w:line="174" w:lineRule="exact"/>
        <w:rPr>
          <w:sz w:val="20"/>
          <w:szCs w:val="20"/>
          <w:color w:val="auto"/>
        </w:rPr>
      </w:pPr>
    </w:p>
    <w:p>
      <w:pPr>
        <w:ind w:left="825" w:hanging="825"/>
        <w:spacing w:after="0"/>
        <w:tabs>
          <w:tab w:leader="none" w:pos="82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TRANSFEREE REPRESENTATIONS</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BE COMPLETED BY PURCHASER IF (2) ABOVE IS CHECKED.</w:t>
      </w:r>
    </w:p>
    <w:p>
      <w:pPr>
        <w:spacing w:after="0" w:line="362" w:lineRule="exact"/>
        <w:rPr>
          <w:sz w:val="20"/>
          <w:szCs w:val="20"/>
          <w:color w:val="auto"/>
        </w:rPr>
      </w:pPr>
    </w:p>
    <w:p>
      <w:pPr>
        <w:ind w:left="825" w:right="2939" w:firstLine="830"/>
        <w:spacing w:after="0" w:line="250" w:lineRule="auto"/>
        <w:rPr>
          <w:sz w:val="20"/>
          <w:szCs w:val="20"/>
          <w:color w:val="auto"/>
        </w:rPr>
      </w:pPr>
      <w:r>
        <w:rPr>
          <w:rFonts w:ascii="Courier New" w:cs="Courier New" w:eastAsia="Courier New" w:hAnsi="Courier New"/>
          <w:sz w:val="15"/>
          <w:szCs w:val="15"/>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2" w:lineRule="exact"/>
        <w:rPr>
          <w:sz w:val="20"/>
          <w:szCs w:val="20"/>
          <w:color w:val="auto"/>
        </w:rPr>
      </w:pPr>
    </w:p>
    <w:p>
      <w:pPr>
        <w:ind w:left="5"/>
        <w:spacing w:after="0"/>
        <w:tabs>
          <w:tab w:leader="none" w:pos="3125" w:val="left"/>
        </w:tabs>
        <w:rPr>
          <w:sz w:val="20"/>
          <w:szCs w:val="20"/>
          <w:color w:val="auto"/>
        </w:rPr>
      </w:pPr>
      <w:r>
        <w:rPr>
          <w:rFonts w:ascii="Courier New" w:cs="Courier New" w:eastAsia="Courier New" w:hAnsi="Courier New"/>
          <w:sz w:val="15"/>
          <w:szCs w:val="15"/>
          <w:color w:val="auto"/>
        </w:rPr>
        <w:t>Dated:___________________</w:t>
      </w:r>
      <w:r>
        <w:rPr>
          <w:sz w:val="20"/>
          <w:szCs w:val="20"/>
          <w:color w:val="auto"/>
        </w:rPr>
        <w:tab/>
      </w:r>
      <w:r>
        <w:rPr>
          <w:rFonts w:ascii="Courier New" w:cs="Courier New" w:eastAsia="Courier New" w:hAnsi="Courier New"/>
          <w:sz w:val="15"/>
          <w:szCs w:val="15"/>
          <w:color w:val="auto"/>
        </w:rPr>
        <w:t>Signed:_____________________________</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3785"/>
        <w:spacing w:after="0"/>
        <w:tabs>
          <w:tab w:leader="none" w:pos="4585" w:val="left"/>
        </w:tabs>
        <w:rPr>
          <w:sz w:val="20"/>
          <w:szCs w:val="20"/>
          <w:color w:val="auto"/>
        </w:rPr>
      </w:pPr>
      <w:r>
        <w:rPr>
          <w:rFonts w:ascii="Courier New" w:cs="Courier New" w:eastAsia="Courier New" w:hAnsi="Courier New"/>
          <w:sz w:val="15"/>
          <w:szCs w:val="15"/>
          <w:color w:val="auto"/>
        </w:rPr>
        <w:t>NOTICE:</w:t>
        <w:tab/>
        <w:t>To be executed by an executive</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pacing w:after="0" w:line="340"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10225"/>
          </w:cols>
          <w:pgMar w:left="235" w:top="295"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106</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TO BE COMPLETED BY PURCHASER IF (3) ABOVE IS CHECKED</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undersigned represents and warrants that it is not a "U.S. Person"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defined in Regulation S under the Securities Act of 1933, as amended).</w:t>
      </w:r>
    </w:p>
    <w:p>
      <w:pPr>
        <w:spacing w:after="0" w:line="185"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5"/>
          <w:szCs w:val="15"/>
          <w:color w:val="auto"/>
        </w:rPr>
        <w:t>Dated:___________________</w:t>
      </w:r>
      <w:r>
        <w:rPr>
          <w:sz w:val="20"/>
          <w:szCs w:val="20"/>
          <w:color w:val="auto"/>
        </w:rPr>
        <w:tab/>
      </w:r>
      <w:r>
        <w:rPr>
          <w:rFonts w:ascii="Courier New" w:cs="Courier New" w:eastAsia="Courier New" w:hAnsi="Courier New"/>
          <w:sz w:val="15"/>
          <w:szCs w:val="15"/>
          <w:color w:val="auto"/>
        </w:rPr>
        <w:t>Signed:_____________________________</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3780"/>
        <w:spacing w:after="0"/>
        <w:tabs>
          <w:tab w:leader="none" w:pos="4580" w:val="left"/>
        </w:tabs>
        <w:rPr>
          <w:sz w:val="20"/>
          <w:szCs w:val="20"/>
          <w:color w:val="auto"/>
        </w:rPr>
      </w:pPr>
      <w:r>
        <w:rPr>
          <w:rFonts w:ascii="Courier New" w:cs="Courier New" w:eastAsia="Courier New" w:hAnsi="Courier New"/>
          <w:sz w:val="15"/>
          <w:szCs w:val="15"/>
          <w:color w:val="auto"/>
        </w:rPr>
        <w:t>NOTICE:</w:t>
        <w:tab/>
        <w:t>To be executed by an executive</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A-44</w:t>
      </w:r>
    </w:p>
    <w:p>
      <w:pPr>
        <w:sectPr>
          <w:pgSz w:w="11900" w:h="16838" w:orient="portrait"/>
          <w:cols w:equalWidth="0" w:num="1">
            <w:col w:w="10219"/>
          </w:cols>
          <w:pgMar w:left="240" w:top="295"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107</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OPTION OF HOLDER TO ELECT PURCHASE</w:t>
      </w:r>
    </w:p>
    <w:p>
      <w:pPr>
        <w:spacing w:after="0" w:line="18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If you want to elect to have this Note purchased by the Company pursuant to Section 3.09 or Section 4.07 of the Indenture, check the box: [ ]</w:t>
      </w:r>
    </w:p>
    <w:p>
      <w:pPr>
        <w:spacing w:after="0" w:line="174"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If you want to elect to have only part of this Note purchased by the Company pursuant to Section 3.09 or Section 4.07 of the Indenture, state the amount you want to be purchased (in denominations of $1,000 or any integral multiple thereof):</w:t>
      </w:r>
    </w:p>
    <w:p>
      <w:pPr>
        <w:spacing w:after="0" w:line="17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$_______________</w:t>
      </w:r>
    </w:p>
    <w:p>
      <w:pPr>
        <w:spacing w:after="0" w:line="362"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5"/>
          <w:szCs w:val="15"/>
          <w:color w:val="auto"/>
        </w:rPr>
        <w:t>Dated: _______________________</w:t>
        <w:tab/>
        <w:t>Signed: ________________________________________</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 exactly as your name appears on</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other side of this Note)</w:t>
      </w:r>
    </w:p>
    <w:p>
      <w:pPr>
        <w:spacing w:after="0" w:line="36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Signature Guarantee:*___________________________</w:t>
      </w:r>
    </w:p>
    <w:p>
      <w:pPr>
        <w:spacing w:after="0" w:line="362"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*Signatures must be guaranteed by a commercial bank, trust company or member firm of the New York Stock Exchange.</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A-45</w:t>
      </w:r>
    </w:p>
    <w:p>
      <w:pPr>
        <w:sectPr>
          <w:pgSz w:w="11900" w:h="16838" w:orient="portrait"/>
          <w:cols w:equalWidth="0" w:num="1">
            <w:col w:w="10219"/>
          </w:cols>
          <w:pgMar w:left="240" w:top="295" w:right="1440" w:bottom="1440" w:gutter="0" w:footer="0" w:header="0"/>
        </w:sectPr>
      </w:pPr>
    </w:p>
    <w:bookmarkStart w:id="153" w:name="page154"/>
    <w:bookmarkEnd w:id="153"/>
    <w:p>
      <w:pPr>
        <w:ind w:left="285"/>
        <w:spacing w:after="0"/>
        <w:rPr>
          <w:sz w:val="20"/>
          <w:szCs w:val="20"/>
          <w:color w:val="auto"/>
        </w:rPr>
      </w:pPr>
      <w:r>
        <w:rPr>
          <w:rFonts w:ascii="Courier New" w:cs="Courier New" w:eastAsia="Courier New" w:hAnsi="Courier New"/>
          <w:sz w:val="15"/>
          <w:szCs w:val="15"/>
          <w:color w:val="auto"/>
        </w:rPr>
        <w:t>108</w:t>
      </w:r>
    </w:p>
    <w:p>
      <w:pPr>
        <w:spacing w:after="0" w:line="8"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ELECTION TO CONVERT</w:t>
      </w:r>
    </w:p>
    <w:p>
      <w:pPr>
        <w:spacing w:after="0" w:line="185" w:lineRule="exact"/>
        <w:rPr>
          <w:sz w:val="20"/>
          <w:szCs w:val="20"/>
          <w:color w:val="auto"/>
        </w:rPr>
      </w:pPr>
    </w:p>
    <w:p>
      <w:pPr>
        <w:ind w:left="5"/>
        <w:spacing w:after="0"/>
        <w:tabs>
          <w:tab w:leader="none" w:pos="805"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Akamai Technologies, Inc.</w:t>
      </w:r>
    </w:p>
    <w:p>
      <w:pPr>
        <w:spacing w:after="0" w:line="362" w:lineRule="exact"/>
        <w:rPr>
          <w:sz w:val="20"/>
          <w:szCs w:val="20"/>
          <w:color w:val="auto"/>
        </w:rPr>
      </w:pPr>
    </w:p>
    <w:p>
      <w:pPr>
        <w:ind w:left="825" w:right="2839" w:firstLine="830"/>
        <w:spacing w:after="0" w:line="250" w:lineRule="auto"/>
        <w:rPr>
          <w:sz w:val="20"/>
          <w:szCs w:val="20"/>
          <w:color w:val="auto"/>
        </w:rPr>
      </w:pPr>
      <w:r>
        <w:rPr>
          <w:rFonts w:ascii="Courier New" w:cs="Courier New" w:eastAsia="Courier New" w:hAnsi="Courier New"/>
          <w:sz w:val="15"/>
          <w:szCs w:val="15"/>
          <w:color w:val="auto"/>
        </w:rPr>
        <w:t>The undersigned owner of this Note hereby irrevocably exercise the option to convert this Note, or the portion below designated, into Common Stock of Akamai Technologies, Inc. in accordance with the terms of the Indenture referred to in this Note, and directors that the shares issuable and deliverable upon conversion, together with any check in payment for fractional shares, be issued in the name of and delivered to the undersigned, unless a different name has been indicated in the assignment below. If the shares are to be issued in the name of a person other than the undersigned, the undersigned will pay all transfer taxes payable with respect thereto.</w:t>
      </w:r>
    </w:p>
    <w:p>
      <w:pPr>
        <w:spacing w:after="0" w:line="182" w:lineRule="exact"/>
        <w:rPr>
          <w:sz w:val="20"/>
          <w:szCs w:val="20"/>
          <w:color w:val="auto"/>
        </w:rPr>
      </w:pPr>
    </w:p>
    <w:p>
      <w:pPr>
        <w:ind w:left="825" w:right="2839"/>
        <w:spacing w:after="0" w:line="251" w:lineRule="auto"/>
        <w:rPr>
          <w:sz w:val="20"/>
          <w:szCs w:val="20"/>
          <w:color w:val="auto"/>
        </w:rPr>
      </w:pPr>
      <w:r>
        <w:rPr>
          <w:rFonts w:ascii="Courier New" w:cs="Courier New" w:eastAsia="Courier New" w:hAnsi="Courier New"/>
          <w:sz w:val="15"/>
          <w:szCs w:val="15"/>
          <w:color w:val="auto"/>
        </w:rPr>
        <w:t>Any holder of Notes, upon the exercise of its conversion rights in accordance with the terms of the Indenture and the Note, agrees to be bound by the terms of the Registration Rights Agreement relating to the Common Stock issuable upon conversion of the Notes.</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25"/>
          </w:cols>
          <w:pgMar w:left="235" w:top="296" w:right="1440" w:bottom="1440" w:gutter="0" w:footer="0" w:header="0"/>
        </w:sectPr>
      </w:pPr>
    </w:p>
    <w:p>
      <w:pPr>
        <w:spacing w:after="0" w:line="185" w:lineRule="exact"/>
        <w:rPr>
          <w:sz w:val="20"/>
          <w:szCs w:val="20"/>
          <w:color w:val="auto"/>
        </w:rPr>
      </w:pPr>
    </w:p>
    <w:p>
      <w:pPr>
        <w:ind w:left="1665"/>
        <w:spacing w:after="0"/>
        <w:rPr>
          <w:sz w:val="20"/>
          <w:szCs w:val="20"/>
          <w:color w:val="auto"/>
        </w:rPr>
      </w:pPr>
      <w:r>
        <w:rPr>
          <w:rFonts w:ascii="Courier New" w:cs="Courier New" w:eastAsia="Courier New" w:hAnsi="Courier New"/>
          <w:sz w:val="15"/>
          <w:szCs w:val="15"/>
          <w:color w:val="auto"/>
        </w:rPr>
        <w:t>In Whole [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Part [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follows:</w:t>
      </w:r>
    </w:p>
    <w:p>
      <w:pPr>
        <w:spacing w:after="0" w:line="185" w:lineRule="exact"/>
        <w:rPr>
          <w:sz w:val="20"/>
          <w:szCs w:val="20"/>
          <w:color w:val="auto"/>
        </w:rPr>
      </w:pPr>
    </w:p>
    <w:p>
      <w:pPr>
        <w:sectPr>
          <w:pgSz w:w="11900" w:h="16838" w:orient="portrait"/>
          <w:cols w:equalWidth="0" w:num="3">
            <w:col w:w="3345" w:space="720"/>
            <w:col w:w="1000" w:space="480"/>
            <w:col w:w="4679"/>
          </w:cols>
          <w:pgMar w:left="235" w:top="296" w:right="1440" w:bottom="1440" w:gutter="0" w:footer="0" w:header="0"/>
          <w:type w:val="continuous"/>
        </w:sectPr>
      </w:pPr>
    </w:p>
    <w:p>
      <w:pPr>
        <w:ind w:left="4065"/>
        <w:spacing w:after="0"/>
        <w:rPr>
          <w:sz w:val="20"/>
          <w:szCs w:val="20"/>
          <w:color w:val="auto"/>
        </w:rPr>
      </w:pPr>
      <w:r>
        <w:rPr>
          <w:rFonts w:ascii="Courier New" w:cs="Courier New" w:eastAsia="Courier New" w:hAnsi="Courier New"/>
          <w:sz w:val="15"/>
          <w:szCs w:val="15"/>
          <w:color w:val="auto"/>
        </w:rPr>
        <w:t>Portions of Note to be converted</w:t>
      </w:r>
    </w:p>
    <w:p>
      <w:pPr>
        <w:spacing w:after="0" w:line="8"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($1,000 or integral multiples</w:t>
      </w:r>
    </w:p>
    <w:p>
      <w:pPr>
        <w:spacing w:after="0" w:line="8"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thereof): $____________</w:t>
      </w:r>
    </w:p>
    <w:p>
      <w:pPr>
        <w:sectPr>
          <w:pgSz w:w="11900" w:h="16838" w:orient="portrait"/>
          <w:cols w:equalWidth="0" w:num="1">
            <w:col w:w="10225"/>
          </w:cols>
          <w:pgMar w:left="235" w:top="296" w:right="1440" w:bottom="1440" w:gutter="0" w:footer="0" w:header="0"/>
          <w:type w:val="continuous"/>
        </w:sectPr>
      </w:pP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Signature</w:t>
      </w:r>
    </w:p>
    <w:p>
      <w:pPr>
        <w:spacing w:after="0" w:line="185" w:lineRule="exact"/>
        <w:rPr>
          <w:sz w:val="20"/>
          <w:szCs w:val="20"/>
          <w:color w:val="auto"/>
        </w:rPr>
      </w:pPr>
    </w:p>
    <w:p>
      <w:pPr>
        <w:ind w:left="5" w:right="3399"/>
        <w:spacing w:after="0" w:line="253" w:lineRule="auto"/>
        <w:rPr>
          <w:sz w:val="20"/>
          <w:szCs w:val="20"/>
          <w:color w:val="auto"/>
        </w:rPr>
      </w:pPr>
      <w:r>
        <w:rPr>
          <w:rFonts w:ascii="Courier New" w:cs="Courier New" w:eastAsia="Courier New" w:hAnsi="Courier New"/>
          <w:sz w:val="15"/>
          <w:szCs w:val="15"/>
          <w:color w:val="auto"/>
        </w:rPr>
        <w:t>Please print or Typewrite Name and Address, Including Zip code, and Social Security or Other Identifying Number:</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________________________________</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Signature Guarantee:*___________</w:t>
      </w:r>
    </w:p>
    <w:p>
      <w:pPr>
        <w:spacing w:after="0" w:line="200" w:lineRule="exact"/>
        <w:rPr>
          <w:sz w:val="20"/>
          <w:szCs w:val="20"/>
          <w:color w:val="auto"/>
        </w:rPr>
      </w:pPr>
    </w:p>
    <w:p>
      <w:pPr>
        <w:spacing w:after="0" w:line="340" w:lineRule="exact"/>
        <w:rPr>
          <w:sz w:val="20"/>
          <w:szCs w:val="20"/>
          <w:color w:val="auto"/>
        </w:rPr>
      </w:pPr>
    </w:p>
    <w:p>
      <w:pPr>
        <w:ind w:left="825" w:right="3219" w:hanging="825"/>
        <w:spacing w:after="0" w:line="253" w:lineRule="auto"/>
        <w:tabs>
          <w:tab w:leader="none" w:pos="82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must be guaranteed by a commercial bank, trust company or member firm of the New York Stock Exchange</w:t>
      </w:r>
    </w:p>
    <w:p>
      <w:pPr>
        <w:spacing w:after="0" w:line="200" w:lineRule="exact"/>
        <w:rPr>
          <w:sz w:val="20"/>
          <w:szCs w:val="20"/>
          <w:color w:val="auto"/>
        </w:rPr>
      </w:pPr>
    </w:p>
    <w:p>
      <w:pPr>
        <w:spacing w:after="0" w:line="329"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A-46</w:t>
      </w:r>
    </w:p>
    <w:p>
      <w:pPr>
        <w:sectPr>
          <w:pgSz w:w="11900" w:h="16838" w:orient="portrait"/>
          <w:cols w:equalWidth="0" w:num="1">
            <w:col w:w="10225"/>
          </w:cols>
          <w:pgMar w:left="235" w:top="296" w:right="1440" w:bottom="1440" w:gutter="0" w:footer="0" w:header="0"/>
          <w:type w:val="continuous"/>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109</w:t>
      </w:r>
    </w:p>
    <w:p>
      <w:pPr>
        <w:spacing w:after="0" w:line="8" w:lineRule="exact"/>
        <w:rPr>
          <w:sz w:val="20"/>
          <w:szCs w:val="20"/>
          <w:color w:val="auto"/>
        </w:rPr>
      </w:pPr>
    </w:p>
    <w:p>
      <w:pPr>
        <w:jc w:val="right"/>
        <w:ind w:right="3600"/>
        <w:spacing w:after="0"/>
        <w:rPr>
          <w:sz w:val="20"/>
          <w:szCs w:val="20"/>
          <w:color w:val="auto"/>
        </w:rPr>
      </w:pPr>
      <w:r>
        <w:rPr>
          <w:rFonts w:ascii="Courier New" w:cs="Courier New" w:eastAsia="Courier New" w:hAnsi="Courier New"/>
          <w:sz w:val="15"/>
          <w:szCs w:val="15"/>
          <w:color w:val="auto"/>
        </w:rPr>
        <w:t>SCHEDULE A</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SCHEDULE OF PRINCIPAL AMOUNT</w:t>
      </w:r>
    </w:p>
    <w:p>
      <w:pPr>
        <w:spacing w:after="0" w:line="185" w:lineRule="exact"/>
        <w:rPr>
          <w:sz w:val="20"/>
          <w:szCs w:val="20"/>
          <w:color w:val="auto"/>
        </w:rPr>
      </w:pPr>
    </w:p>
    <w:p>
      <w:pPr>
        <w:jc w:val="both"/>
        <w:ind w:right="3980"/>
        <w:spacing w:after="0" w:line="252" w:lineRule="auto"/>
        <w:rPr>
          <w:sz w:val="20"/>
          <w:szCs w:val="20"/>
          <w:color w:val="auto"/>
        </w:rPr>
      </w:pPr>
      <w:r>
        <w:rPr>
          <w:rFonts w:ascii="Courier New" w:cs="Courier New" w:eastAsia="Courier New" w:hAnsi="Courier New"/>
          <w:sz w:val="15"/>
          <w:szCs w:val="15"/>
          <w:color w:val="auto"/>
        </w:rPr>
        <w:t>The initial principal amount of this Global Note shall be $ . The following increases or decreases in the principal amount of this Global Note have been made: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80" w:type="dxa"/>
            <w:vAlign w:val="bottom"/>
          </w:tcPr>
          <w:p>
            <w:pPr>
              <w:jc w:val="center"/>
              <w:ind w:right="143"/>
              <w:spacing w:after="0"/>
              <w:rPr>
                <w:sz w:val="20"/>
                <w:szCs w:val="20"/>
                <w:color w:val="auto"/>
              </w:rPr>
            </w:pPr>
            <w:r>
              <w:rPr>
                <w:rFonts w:ascii="Courier New" w:cs="Courier New" w:eastAsia="Courier New" w:hAnsi="Courier New"/>
                <w:sz w:val="15"/>
                <w:szCs w:val="15"/>
                <w:color w:val="auto"/>
              </w:rPr>
              <w:t>Amount of decrease</w:t>
            </w:r>
          </w:p>
        </w:tc>
        <w:tc>
          <w:tcPr>
            <w:tcW w:w="2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32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Signature of authorized</w:t>
            </w:r>
          </w:p>
        </w:tc>
      </w:tr>
      <w:tr>
        <w:trPr>
          <w:trHeight w:val="177"/>
        </w:trPr>
        <w:tc>
          <w:tcPr>
            <w:tcW w:w="1880" w:type="dxa"/>
            <w:vAlign w:val="bottom"/>
          </w:tcPr>
          <w:p>
            <w:pPr>
              <w:jc w:val="center"/>
              <w:ind w:right="143"/>
              <w:spacing w:after="0"/>
              <w:rPr>
                <w:sz w:val="20"/>
                <w:szCs w:val="20"/>
                <w:color w:val="auto"/>
              </w:rPr>
            </w:pPr>
            <w:r>
              <w:rPr>
                <w:rFonts w:ascii="Courier New" w:cs="Courier New" w:eastAsia="Courier New" w:hAnsi="Courier New"/>
                <w:sz w:val="15"/>
                <w:szCs w:val="15"/>
                <w:color w:val="auto"/>
              </w:rPr>
              <w:t>in principal</w:t>
            </w:r>
          </w:p>
        </w:tc>
        <w:tc>
          <w:tcPr>
            <w:tcW w:w="2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Amount of increase</w:t>
            </w:r>
          </w:p>
        </w:tc>
        <w:tc>
          <w:tcPr>
            <w:tcW w:w="1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rPr>
              <w:t>Signature of authorized</w:t>
            </w:r>
          </w:p>
        </w:tc>
        <w:tc>
          <w:tcPr>
            <w:tcW w:w="232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officer</w:t>
            </w:r>
          </w:p>
        </w:tc>
      </w:tr>
      <w:tr>
        <w:trPr>
          <w:trHeight w:val="177"/>
        </w:trPr>
        <w:tc>
          <w:tcPr>
            <w:tcW w:w="1880" w:type="dxa"/>
            <w:vAlign w:val="bottom"/>
          </w:tcPr>
          <w:p>
            <w:pPr>
              <w:jc w:val="center"/>
              <w:ind w:right="143"/>
              <w:spacing w:after="0"/>
              <w:rPr>
                <w:sz w:val="20"/>
                <w:szCs w:val="20"/>
                <w:color w:val="auto"/>
              </w:rPr>
            </w:pPr>
            <w:r>
              <w:rPr>
                <w:rFonts w:ascii="Courier New" w:cs="Courier New" w:eastAsia="Courier New" w:hAnsi="Courier New"/>
                <w:sz w:val="15"/>
                <w:szCs w:val="15"/>
                <w:color w:val="auto"/>
              </w:rPr>
              <w:t>amount of this</w:t>
            </w:r>
          </w:p>
        </w:tc>
        <w:tc>
          <w:tcPr>
            <w:tcW w:w="2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in principal amount</w:t>
            </w:r>
          </w:p>
        </w:tc>
        <w:tc>
          <w:tcPr>
            <w:tcW w:w="1620" w:type="dxa"/>
            <w:vAlign w:val="bottom"/>
          </w:tcPr>
          <w:p>
            <w:pPr>
              <w:ind w:left="100"/>
              <w:spacing w:after="0"/>
              <w:rPr>
                <w:sz w:val="20"/>
                <w:szCs w:val="20"/>
                <w:color w:val="auto"/>
              </w:rPr>
            </w:pPr>
            <w:r>
              <w:rPr>
                <w:rFonts w:ascii="Courier New" w:cs="Courier New" w:eastAsia="Courier New" w:hAnsi="Courier New"/>
                <w:sz w:val="15"/>
                <w:szCs w:val="15"/>
                <w:color w:val="auto"/>
              </w:rPr>
              <w:t>Principal amount</w:t>
            </w:r>
          </w:p>
        </w:tc>
        <w:tc>
          <w:tcPr>
            <w:tcW w:w="6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of</w:t>
            </w:r>
          </w:p>
        </w:tc>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rPr>
              <w:t>officer of Trustee or</w:t>
            </w:r>
          </w:p>
        </w:tc>
        <w:tc>
          <w:tcPr>
            <w:tcW w:w="232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of Trustee or</w:t>
            </w:r>
          </w:p>
        </w:tc>
      </w:tr>
      <w:tr>
        <w:trPr>
          <w:trHeight w:val="177"/>
        </w:trPr>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Global Note</w:t>
            </w:r>
          </w:p>
        </w:tc>
        <w:tc>
          <w:tcPr>
            <w:tcW w:w="2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of this Global Note</w:t>
            </w:r>
          </w:p>
        </w:tc>
        <w:tc>
          <w:tcPr>
            <w:tcW w:w="1620" w:type="dxa"/>
            <w:vAlign w:val="bottom"/>
          </w:tcPr>
          <w:p>
            <w:pPr>
              <w:ind w:left="100"/>
              <w:spacing w:after="0"/>
              <w:rPr>
                <w:sz w:val="20"/>
                <w:szCs w:val="20"/>
                <w:color w:val="auto"/>
              </w:rPr>
            </w:pPr>
            <w:r>
              <w:rPr>
                <w:rFonts w:ascii="Courier New" w:cs="Courier New" w:eastAsia="Courier New" w:hAnsi="Courier New"/>
                <w:sz w:val="15"/>
                <w:szCs w:val="15"/>
                <w:color w:val="auto"/>
              </w:rPr>
              <w:t>this Global Note</w:t>
            </w:r>
          </w:p>
        </w:tc>
        <w:tc>
          <w:tcPr>
            <w:tcW w:w="600" w:type="dxa"/>
            <w:vAlign w:val="bottom"/>
          </w:tcPr>
          <w:p>
            <w:pPr>
              <w:spacing w:after="0"/>
              <w:rPr>
                <w:sz w:val="15"/>
                <w:szCs w:val="15"/>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Notes Custodian</w:t>
            </w:r>
          </w:p>
        </w:tc>
        <w:tc>
          <w:tcPr>
            <w:tcW w:w="2320" w:type="dxa"/>
            <w:vAlign w:val="bottom"/>
          </w:tcPr>
          <w:p>
            <w:pPr>
              <w:ind w:left="200"/>
              <w:spacing w:after="0"/>
              <w:rPr>
                <w:sz w:val="20"/>
                <w:szCs w:val="20"/>
                <w:color w:val="auto"/>
              </w:rPr>
            </w:pPr>
            <w:r>
              <w:rPr>
                <w:rFonts w:ascii="Courier New" w:cs="Courier New" w:eastAsia="Courier New" w:hAnsi="Courier New"/>
                <w:sz w:val="15"/>
                <w:szCs w:val="15"/>
                <w:color w:val="auto"/>
              </w:rPr>
              <w:t>Securities Custodian</w:t>
            </w:r>
          </w:p>
        </w:tc>
      </w:tr>
      <w:tr>
        <w:trPr>
          <w:trHeight w:val="177"/>
        </w:trPr>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A-47</w:t>
      </w:r>
    </w:p>
    <w:p>
      <w:pPr>
        <w:sectPr>
          <w:pgSz w:w="11900" w:h="16838" w:orient="portrait"/>
          <w:cols w:equalWidth="0" w:num="1">
            <w:col w:w="10980"/>
          </w:cols>
          <w:pgMar w:left="240" w:top="295" w:right="679"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110</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AKAMAI TECHNOLOGIES, INC.</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5 1/2% CONVERTIBLE SUBORDINATED NOTE DUE 2007</w:t>
      </w:r>
    </w:p>
    <w:p>
      <w:pPr>
        <w:sectPr>
          <w:pgSz w:w="11900" w:h="16838" w:orient="portrait"/>
          <w:cols w:equalWidth="0" w:num="1">
            <w:col w:w="10219"/>
          </w:cols>
          <w:pgMar w:left="240" w:top="295" w:right="1440" w:bottom="1440" w:gutter="0" w:footer="0" w:header="0"/>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D-1</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No._________</w:t>
      </w:r>
    </w:p>
    <w:p>
      <w:pPr>
        <w:spacing w:after="0" w:line="185" w:lineRule="exact"/>
        <w:rPr>
          <w:sz w:val="20"/>
          <w:szCs w:val="20"/>
          <w:color w:val="auto"/>
        </w:rPr>
      </w:pPr>
    </w:p>
    <w:p>
      <w:pPr>
        <w:sectPr>
          <w:pgSz w:w="11900" w:h="16838" w:orient="portrait"/>
          <w:cols w:equalWidth="0" w:num="2">
            <w:col w:w="5000" w:space="720"/>
            <w:col w:w="4499"/>
          </w:cols>
          <w:pgMar w:left="240" w:top="295" w:right="1440" w:bottom="1440" w:gutter="0" w:footer="0" w:header="0"/>
          <w:type w:val="continuous"/>
        </w:sectPr>
      </w:pPr>
    </w:p>
    <w:p>
      <w:pPr>
        <w:ind w:left="5720"/>
        <w:spacing w:after="0"/>
        <w:rPr>
          <w:sz w:val="20"/>
          <w:szCs w:val="20"/>
          <w:color w:val="auto"/>
        </w:rPr>
      </w:pPr>
      <w:r>
        <w:rPr>
          <w:rFonts w:ascii="Courier New" w:cs="Courier New" w:eastAsia="Courier New" w:hAnsi="Courier New"/>
          <w:sz w:val="15"/>
          <w:szCs w:val="15"/>
          <w:color w:val="auto"/>
        </w:rPr>
        <w:t>$_________________</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Akamai Technologies, Inc., a Delaware corporation (hereinafter called</w:t>
      </w:r>
    </w:p>
    <w:p>
      <w:pPr>
        <w:sectPr>
          <w:pgSz w:w="11900" w:h="16838" w:orient="portrait"/>
          <w:cols w:equalWidth="0" w:num="1">
            <w:col w:w="10219"/>
          </w:cols>
          <w:pgMar w:left="240" w:top="295" w:right="1440" w:bottom="1440" w:gutter="0" w:footer="0" w:header="0"/>
          <w:type w:val="continuous"/>
        </w:sectPr>
      </w:pP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the "Company", which term includes any successors under the Indenture hereinafter referred to), for value received, hereby promises to pay to Cede &amp; Co., or registered assigns, the principal sum of ___________________ dollars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 on ______________, 2007.</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Interest Payment Dates: July 1 and January 1: commencing January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5" w:lineRule="exact"/>
        <w:rPr>
          <w:sz w:val="20"/>
          <w:szCs w:val="20"/>
          <w:color w:val="auto"/>
        </w:rPr>
      </w:pPr>
    </w:p>
    <w:p>
      <w:pPr>
        <w:ind w:left="820"/>
        <w:spacing w:after="0"/>
        <w:tabs>
          <w:tab w:leader="none" w:pos="2180" w:val="left"/>
        </w:tabs>
        <w:rPr>
          <w:sz w:val="20"/>
          <w:szCs w:val="20"/>
          <w:color w:val="auto"/>
        </w:rPr>
      </w:pPr>
      <w:r>
        <w:rPr>
          <w:rFonts w:ascii="Courier New" w:cs="Courier New" w:eastAsia="Courier New" w:hAnsi="Courier New"/>
          <w:sz w:val="15"/>
          <w:szCs w:val="15"/>
          <w:color w:val="auto"/>
        </w:rPr>
        <w:t>Record Dates:</w:t>
        <w:tab/>
        <w:t>June 15 and December 15.</w:t>
      </w:r>
    </w:p>
    <w:p>
      <w:pPr>
        <w:spacing w:after="0" w:line="18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Reference is made to the further provisions of this Note hereinafter set forth, which will, for all purposes, have the same effect as if set forth at this place.</w:t>
      </w:r>
    </w:p>
    <w:p>
      <w:pPr>
        <w:spacing w:after="0" w:line="175"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 under its corporate seal.</w:t>
      </w:r>
    </w:p>
    <w:p>
      <w:pPr>
        <w:spacing w:after="0" w:line="174"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AKAMAI TECHNOLOGIES, INC.,</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a Delaware corporation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Title: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 ____________</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A-48</w:t>
      </w:r>
    </w:p>
    <w:p>
      <w:pPr>
        <w:sectPr>
          <w:pgSz w:w="11900" w:h="16838" w:orient="portrait"/>
          <w:cols w:equalWidth="0" w:num="1">
            <w:col w:w="10219"/>
          </w:cols>
          <w:pgMar w:left="240" w:top="295" w:right="1440" w:bottom="1440" w:gutter="0" w:footer="0" w:header="0"/>
          <w:type w:val="continuous"/>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111</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one of the Notes described in the within-mentioned Indenture.</w:t>
      </w:r>
    </w:p>
    <w:p>
      <w:pPr>
        <w:spacing w:after="0" w:line="18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as Trustee</w:t>
      </w:r>
    </w:p>
    <w:p>
      <w:pPr>
        <w:spacing w:after="0" w:line="18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By:__________________________________</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Authorized Signatory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Dated:___________________</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A-49</w:t>
      </w:r>
    </w:p>
    <w:p>
      <w:pPr>
        <w:sectPr>
          <w:pgSz w:w="11900" w:h="16838" w:orient="portrait"/>
          <w:cols w:equalWidth="0" w:num="1">
            <w:col w:w="10219"/>
          </w:cols>
          <w:pgMar w:left="240" w:top="296" w:right="1440" w:bottom="1440" w:gutter="0" w:footer="0" w:header="0"/>
        </w:sectPr>
      </w:pPr>
    </w:p>
    <w:bookmarkStart w:id="157" w:name="page158"/>
    <w:bookmarkEnd w:id="157"/>
    <w:p>
      <w:pPr>
        <w:ind w:left="285"/>
        <w:spacing w:after="0"/>
        <w:rPr>
          <w:sz w:val="20"/>
          <w:szCs w:val="20"/>
          <w:color w:val="auto"/>
        </w:rPr>
      </w:pPr>
      <w:r>
        <w:rPr>
          <w:rFonts w:ascii="Courier New" w:cs="Courier New" w:eastAsia="Courier New" w:hAnsi="Courier New"/>
          <w:sz w:val="15"/>
          <w:szCs w:val="15"/>
          <w:color w:val="auto"/>
        </w:rPr>
        <w:t>112</w:t>
      </w:r>
    </w:p>
    <w:p>
      <w:pPr>
        <w:spacing w:after="0" w:line="8" w:lineRule="exact"/>
        <w:rPr>
          <w:sz w:val="20"/>
          <w:szCs w:val="20"/>
          <w:color w:val="auto"/>
        </w:rPr>
      </w:pPr>
    </w:p>
    <w:p>
      <w:pPr>
        <w:ind w:left="1565"/>
        <w:spacing w:after="0"/>
        <w:rPr>
          <w:sz w:val="20"/>
          <w:szCs w:val="20"/>
          <w:color w:val="auto"/>
        </w:rPr>
      </w:pPr>
      <w:r>
        <w:rPr>
          <w:rFonts w:ascii="Courier New" w:cs="Courier New" w:eastAsia="Courier New" w:hAnsi="Courier New"/>
          <w:sz w:val="15"/>
          <w:szCs w:val="15"/>
          <w:color w:val="auto"/>
        </w:rPr>
        <w:t>5 1/2% CONVERTIBLE SUBORDINATED NOTE DUE 2007</w:t>
      </w:r>
    </w:p>
    <w:p>
      <w:pPr>
        <w:spacing w:after="0" w:line="185" w:lineRule="exact"/>
        <w:rPr>
          <w:sz w:val="20"/>
          <w:szCs w:val="20"/>
          <w:color w:val="auto"/>
        </w:rPr>
      </w:pPr>
    </w:p>
    <w:p>
      <w:pPr>
        <w:ind w:left="5" w:right="2839" w:firstLine="825"/>
        <w:spacing w:after="0" w:line="250" w:lineRule="auto"/>
        <w:tabs>
          <w:tab w:leader="none" w:pos="1113"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AKAMAI TECHNOLOGIES, INC., a Delaware corporation (the "COMPANY"), is the issuer of 5 1/2% Convertible Subordinated Notes due 2007 (the "Notes"). The Notes will accrue interest at a rate of 5 1/2% per annum. The Company promises to pay interest on the Notes in cash semiannually on each July 1 and January 1, commencing on January 1, 2001, to Holders of record on the immediately preceding June 15 and December 15, respectively. Interest on the Notes will accrue from the most recent date to which interest has been paid, or if no interest has been paid, from June 20, 2000. Interest will be computed on the basis of a 360-day year of twelve 30-day months. The Company will pay interest on overdue principal at the interest rate borne by the Notes, compounded semiannually, and, to the extent permitted by law, it shall pay interest on overdue installments of interest (without regard to any applicable grace period) at the same interest rate compounded semiannually.</w:t>
      </w:r>
    </w:p>
    <w:p>
      <w:pPr>
        <w:spacing w:after="0" w:line="183" w:lineRule="exact"/>
        <w:rPr>
          <w:rFonts w:ascii="Courier New" w:cs="Courier New" w:eastAsia="Courier New" w:hAnsi="Courier New"/>
          <w:sz w:val="15"/>
          <w:szCs w:val="15"/>
          <w:color w:val="auto"/>
        </w:rPr>
      </w:pPr>
    </w:p>
    <w:p>
      <w:pPr>
        <w:ind w:left="5" w:right="2839" w:firstLine="825"/>
        <w:spacing w:after="0" w:line="250" w:lineRule="auto"/>
        <w:tabs>
          <w:tab w:leader="none" w:pos="1113"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The holder of this Note (and the Common Stock issuable upon conversion hereof) is entitled to the benefits of a Registration Rights Agreement, dated as of June 20, 2000, among the Company and the Initial Purchasers (the "REGISTRATION RIGHTS AGREEMENT"). Pursuant to the Registration Rights Agreement the Company has agreed for the benefit of the holders of Transfer Restricted Securities, that (i) it will, at its cost, within 90 days after the closing of the sale of the Notes (the "CLOSING"), file a shelf registration statement (the "SHELF REGISTRATION STATEMENT") with the Securities and Exchange Commission (the "COMMISSION") with respect to resales of the Notes and the Common Stock issuable upon conversion thereof, (ii) it will use its reasonable best efforts to cause such Shelf Registration Statement to be declared effective within 180 days after the Closing, and (iii) it will use its reasonable best efforts to keep such Shelf Registration Statement continuously effective under the Securities Act, subject to certain exceptions specified in the Registration Rights Agreement, until the second anniversary of the date of the Closing. If (a) the Company fails to file the Shelf Registration Statement required by the Registration Rights Agreement on or before the date specified above for such filing, (b) such Shelf Registration Statement is not declared effective by the Commission on or prior to the date specified above for such effectiveness, or (c) the Shelf Registration Statement is declared effective but thereafter ceases to be effective or useable in connection with resales of Transfer Restricted Securities during the periods specified in the Registration Rights Agreement without being succeeded immediately by a post-effective amendment to such Shelf Registration Statement that cures such failure and is itself declared effective immediately (each such event referred to in clauses</w:t>
      </w:r>
    </w:p>
    <w:p>
      <w:pPr>
        <w:spacing w:after="0" w:line="10"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(c) above a "REGISTRATION DEFAULT"), then the Company will pay</w:t>
      </w:r>
    </w:p>
    <w:p>
      <w:pPr>
        <w:spacing w:after="0" w:line="7" w:lineRule="exact"/>
        <w:rPr>
          <w:rFonts w:ascii="Courier New" w:cs="Courier New" w:eastAsia="Courier New" w:hAnsi="Courier New"/>
          <w:sz w:val="15"/>
          <w:szCs w:val="15"/>
          <w:color w:val="auto"/>
        </w:rPr>
      </w:pPr>
    </w:p>
    <w:p>
      <w:pPr>
        <w:ind w:left="5"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special interest to each Holder of Transfer Restricted Securities as described below. Notwithstanding the foregoing, as set forth in the Registration Rights Agreement, the Company will be permitted to suspend use of the prospectus that is part of the Shelf Registration Statement during certain periods of time and in certain circumstances relating to pending corporate developments and public filings with the SEC and similar events, and such a suspension shall not be deemed a Registration Default provided it does not last in excess of 60 days in the aggregate during any 12-month period. With respect to the first 90-day period immediately following the occurrence of a Registration Default, the Company shall pay special interest to each Holder of Transfer Restricted Securities in an amount equal to an increase in the annual interest rate on the Notes of 0.25% ("SPECIAL INTEREST") and with respect to each subsequent 90-day period, additional amounts</w:t>
      </w:r>
    </w:p>
    <w:p>
      <w:pPr>
        <w:spacing w:after="0" w:line="183"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A-50</w:t>
      </w:r>
    </w:p>
    <w:p>
      <w:pPr>
        <w:sectPr>
          <w:pgSz w:w="11900" w:h="16838" w:orient="portrait"/>
          <w:cols w:equalWidth="0" w:num="1">
            <w:col w:w="10225"/>
          </w:cols>
          <w:pgMar w:left="235" w:top="296"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113</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equal to an increase in the annual interest rate on the Notes of 0.25% until all Registration Defaults have been cured, up to a maximum increase in the annual interest rate on the Notes equal to 1.0%. In the event that this Note, or any portion thereof, shall have been converted into shares of Common Stock pursuant to Section 12 hereof, the amount payable under this Section 2 per share of Common Stock so converted shall be determined by dividing (x) the amount that would have been payable hereunder on the aggregate principal amount so converted by (y) the number of shares of Common Stock issued upon such conversion. All accrued Special Interest shall be paid by the Company on each Interest Payment Date for which Special Interest is owed to the holders of Transfer Restricted Securities by wire transfer of immediately available funds or by federal funds check. Following the cure of all Registration Defaults, the application of Special Interest will cease. THE PROVISIONS OF THIS SECTION 2 SHALL SURVIVE ANY CONVERSION OF THE NOTES INTO SHARES OF COMMON STOCK PURSUANT TO SECTION 12 HEREOF, AND MAY BE ENFORCED BY THE HOLDER OF COMMON STOCK ISSUED UPON CONVERSION OF THIS NOTE.</w:t>
      </w:r>
    </w:p>
    <w:p>
      <w:pPr>
        <w:spacing w:after="0" w:line="361" w:lineRule="exact"/>
        <w:rPr>
          <w:sz w:val="20"/>
          <w:szCs w:val="20"/>
          <w:color w:val="auto"/>
        </w:rPr>
      </w:pPr>
    </w:p>
    <w:p>
      <w:pPr>
        <w:ind w:right="2839" w:firstLine="825"/>
        <w:spacing w:after="0" w:line="251" w:lineRule="auto"/>
        <w:tabs>
          <w:tab w:leader="none" w:pos="110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All payments made by the Company on this Note shall be made without deduction or withholding for or on account of, any and all present or future taxes, duties, assessments, or governmental charges of whatever nature unless the deduction or withholding of such taxes, duties, assessments or government charges is then required by law.</w:t>
      </w:r>
    </w:p>
    <w:p>
      <w:pPr>
        <w:spacing w:after="0" w:line="176" w:lineRule="exact"/>
        <w:rPr>
          <w:rFonts w:ascii="Courier New" w:cs="Courier New" w:eastAsia="Courier New" w:hAnsi="Courier New"/>
          <w:sz w:val="15"/>
          <w:szCs w:val="15"/>
          <w:color w:val="auto"/>
        </w:rPr>
      </w:pPr>
    </w:p>
    <w:p>
      <w:pPr>
        <w:ind w:right="2839" w:firstLine="825"/>
        <w:spacing w:after="0" w:line="250" w:lineRule="auto"/>
        <w:tabs>
          <w:tab w:leader="none" w:pos="110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Company will pay interest on the Notes (except defaulted interest) to the Persons who are registered Holders of Notes at the close of business on the record date for the next interest payment date even though Notes are canceled after the record date and on or before the interest payment date. Holders must surrender Notes to a Paying Agent to collect principal and premium payments. The Company will pay principal, premium, if any, interest, and Special Interest, if any, in money of the United States that at the time of payment is legal tender for payment of public and private debts. However, the Company may pay principal, premium, if any, interest and Special Interest, if any, by check payable in such money. It may mail an interest or Special Interest check to a Holder's registered address. Upon the request of a Holder who holds an aggregate principal amount of at least $5.0 million, principal, premium, if any, interest, and Special Interest, if any, shall be paid by wire transfer of immediately available funds to an account previously specified in writing by such Holder to the Company and the Trustee.</w:t>
      </w:r>
    </w:p>
    <w:p>
      <w:pPr>
        <w:spacing w:after="0" w:line="184"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AGENT, CONVERSION AGENT AND REGISTRAR. The Trustee will act as Paying Agent, Conversion Agent and Registrar and will maintain an office or agency in the City of New York, New York at which the notes may be presented for payment, transfer or exchange. The Company may change any Paying Agent, Conversion Agent or Registrar without prior notice. The Company or any of its Affiliates may act in any such capacity.</w:t>
      </w:r>
    </w:p>
    <w:p>
      <w:pPr>
        <w:spacing w:after="0" w:line="175" w:lineRule="exact"/>
        <w:rPr>
          <w:rFonts w:ascii="Courier New" w:cs="Courier New" w:eastAsia="Courier New" w:hAnsi="Courier New"/>
          <w:sz w:val="15"/>
          <w:szCs w:val="15"/>
          <w:color w:val="auto"/>
        </w:rPr>
      </w:pPr>
    </w:p>
    <w:p>
      <w:pPr>
        <w:ind w:right="2839" w:firstLine="825"/>
        <w:spacing w:after="0" w:line="250" w:lineRule="auto"/>
        <w:tabs>
          <w:tab w:leader="none" w:pos="110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The Company issued the Notes under an Indenture, dated as of June 20, 2000 (the "INDENTURE"), between the Company and State Street Bank and Trust Company, as Trustee. Capitalized terms herein are used as defined in the Indenture unless otherwise defined herein. The terms of the Notes include those stated in the Indenture and those made part of the Indenture by the Trust Indenture Act of 1939 (15 U.S. Code Sections 77aaa-77bbbb) (the "TIA") as in effect on the date of the Indenture. The Notes are subject to, and qualified by, all such terms, certain of which are summarized hereon, and Holders are referred to the Indenture and such Act for a statement of such terms. The Notes are unsecured general obligations of the Company limited to</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A-51</w:t>
      </w:r>
    </w:p>
    <w:p>
      <w:pPr>
        <w:sectPr>
          <w:pgSz w:w="11900" w:h="16838" w:orient="portrait"/>
          <w:cols w:equalWidth="0" w:num="1">
            <w:col w:w="10219"/>
          </w:cols>
          <w:pgMar w:left="240" w:top="296"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114</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$300,000,000 in aggregate principal amount and subordinated in right of payment to all existing and future Senior Debt of the Company.</w:t>
      </w:r>
    </w:p>
    <w:p>
      <w:pPr>
        <w:spacing w:after="0" w:line="174" w:lineRule="exact"/>
        <w:rPr>
          <w:sz w:val="20"/>
          <w:szCs w:val="20"/>
          <w:color w:val="auto"/>
        </w:rPr>
      </w:pPr>
    </w:p>
    <w:p>
      <w:pPr>
        <w:ind w:right="2839" w:firstLine="825"/>
        <w:spacing w:after="0" w:line="250" w:lineRule="auto"/>
        <w:tabs>
          <w:tab w:leader="none" w:pos="110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At any time on or after July 3, 2003 the Company may redeem any portion of the Notes, in whole or in part, upon not less than 30 nor more than 60 days' notice, at the redemption prices (expressed as percentages of principal amount thereof), together with accrued and unpaid interest and Special Interest thereon to, but excluding, the applicable redemption date. If redeemed during the period beginning July 3, 2003 and ending on June 30, 2004, the redemption price shall be 103.143%, and if redeemed during the 12-month period commencing on July 1 of each of the following years, up to the maturity date the redemption price shall be the corresponding percentage of principal set forth below:</w:t>
      </w:r>
    </w:p>
    <w:p>
      <w:pPr>
        <w:spacing w:after="0" w:line="200" w:lineRule="exact"/>
        <w:rPr>
          <w:sz w:val="20"/>
          <w:szCs w:val="20"/>
          <w:color w:val="auto"/>
        </w:rPr>
      </w:pPr>
    </w:p>
    <w:p>
      <w:pPr>
        <w:spacing w:after="0" w:line="337" w:lineRule="exact"/>
        <w:rPr>
          <w:sz w:val="20"/>
          <w:szCs w:val="20"/>
          <w:color w:val="auto"/>
        </w:rPr>
      </w:pPr>
    </w:p>
    <w:tbl>
      <w:tblPr>
        <w:tblLayout w:type="fixed"/>
        <w:tblInd w:w="820" w:type="dxa"/>
        <w:tblCellMar>
          <w:top w:w="0" w:type="dxa"/>
          <w:left w:w="0" w:type="dxa"/>
          <w:bottom w:w="0" w:type="dxa"/>
          <w:right w:w="0" w:type="dxa"/>
        </w:tblCellMar>
      </w:tblP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520" w:type="dxa"/>
            <w:vAlign w:val="bottom"/>
          </w:tcPr>
          <w:p>
            <w:pPr>
              <w:spacing w:after="0"/>
              <w:rPr>
                <w:sz w:val="14"/>
                <w:szCs w:val="14"/>
                <w:color w:val="auto"/>
              </w:rPr>
            </w:pPr>
          </w:p>
        </w:tc>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Redemption Price</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July 1, 2004 - June 30, 2005</w:t>
            </w:r>
          </w:p>
        </w:tc>
        <w:tc>
          <w:tcPr>
            <w:tcW w:w="5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102.357%</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July 1, 2005</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 June 30, 2006</w:t>
            </w:r>
          </w:p>
        </w:tc>
        <w:tc>
          <w:tcPr>
            <w:tcW w:w="5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101.571%</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July 1, 2006</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 June 30, 2007</w:t>
            </w:r>
          </w:p>
        </w:tc>
        <w:tc>
          <w:tcPr>
            <w:tcW w:w="5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100.786%</w:t>
            </w:r>
          </w:p>
        </w:tc>
      </w:tr>
      <w:tr>
        <w:trPr>
          <w:trHeight w:val="177"/>
        </w:trPr>
        <w:tc>
          <w:tcPr>
            <w:tcW w:w="1160" w:type="dxa"/>
            <w:vAlign w:val="bottom"/>
          </w:tcPr>
          <w:p>
            <w:pPr>
              <w:spacing w:after="0"/>
              <w:rPr>
                <w:sz w:val="20"/>
                <w:szCs w:val="20"/>
                <w:color w:val="auto"/>
              </w:rPr>
            </w:pPr>
            <w:r>
              <w:rPr>
                <w:rFonts w:ascii="Courier New" w:cs="Courier New" w:eastAsia="Courier New" w:hAnsi="Courier New"/>
                <w:sz w:val="15"/>
                <w:szCs w:val="15"/>
                <w:color w:val="auto"/>
              </w:rPr>
              <w:t>July 1, 2007</w:t>
            </w:r>
          </w:p>
        </w:tc>
        <w:tc>
          <w:tcPr>
            <w:tcW w:w="1520" w:type="dxa"/>
            <w:vAlign w:val="bottom"/>
          </w:tcPr>
          <w:p>
            <w:pPr>
              <w:ind w:left="40"/>
              <w:spacing w:after="0"/>
              <w:rPr>
                <w:sz w:val="20"/>
                <w:szCs w:val="20"/>
                <w:color w:val="auto"/>
              </w:rPr>
            </w:pPr>
            <w:r>
              <w:rPr>
                <w:rFonts w:ascii="Courier New" w:cs="Courier New" w:eastAsia="Courier New" w:hAnsi="Courier New"/>
                <w:sz w:val="5"/>
                <w:szCs w:val="5"/>
                <w:color w:val="auto"/>
                <w:w w:val="82"/>
              </w:rPr>
              <w:t>...........................................................</w:t>
            </w:r>
          </w:p>
        </w:tc>
        <w:tc>
          <w:tcPr>
            <w:tcW w:w="5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100.000%</w:t>
            </w:r>
          </w:p>
        </w:tc>
      </w:tr>
    </w:tbl>
    <w:p>
      <w:pPr>
        <w:spacing w:after="0" w:line="360"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 the event the Company redeems less than all of the outstanding Notes, the Notes to be redeemed shall be selected by the Trustee in accordance with Section 3.02 of the Indenture. In the event a portion of an outstanding Note is selected for redemption and such Note is converted in part after such selection, the converted portion of such Note shall be deemed (so far as may be) to be the portion to be selected for redemption in accordance with Section 3.02 of the Indenture. The Company may not give notice of any redemption if the Company has defaulted in payment of interest and the default is continuing.</w:t>
      </w:r>
    </w:p>
    <w:p>
      <w:pPr>
        <w:spacing w:after="0" w:line="175" w:lineRule="exact"/>
        <w:rPr>
          <w:sz w:val="20"/>
          <w:szCs w:val="20"/>
          <w:color w:val="auto"/>
        </w:rPr>
      </w:pPr>
    </w:p>
    <w:p>
      <w:pPr>
        <w:ind w:right="3019" w:firstLine="825"/>
        <w:spacing w:after="0" w:line="251" w:lineRule="auto"/>
        <w:tabs>
          <w:tab w:leader="none" w:pos="110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 Notice of redemption will be mailed at least 30 days but not more than 60 days before the redemption date to each Holder of the Notes to be redeemed at his address of record. The Notes in denominations larger than $1,000 may be redeemed in part but only in integral multiples of $1,000. In the event of a redemption of less than all of the Notes, the Notes will be chosen for redemption by the Trustee in accordance with the Indenture. On and after the redemption date, interest ceases to accrue on the Notes or portions of them called for redemption.</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If this Note is redeemed subsequent to a record date with respect to any interest payment date specified above and on or prior to such interest payment date, then any accrued interest will be paid to the Person in whose name this Note is registered at the close of business on such record date.</w:t>
      </w:r>
    </w:p>
    <w:p>
      <w:pPr>
        <w:spacing w:after="0" w:line="176" w:lineRule="exact"/>
        <w:rPr>
          <w:sz w:val="20"/>
          <w:szCs w:val="20"/>
          <w:color w:val="auto"/>
        </w:rPr>
      </w:pPr>
    </w:p>
    <w:p>
      <w:pPr>
        <w:ind w:right="2839" w:firstLine="825"/>
        <w:spacing w:after="0" w:line="252" w:lineRule="auto"/>
        <w:tabs>
          <w:tab w:leader="none" w:pos="110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REDEMPTION. The Company will not be required to make mandatory redemption or repurchase payments with respect to the Notes. There are no sinking fund payments with respect to the Notes.</w:t>
      </w:r>
    </w:p>
    <w:p>
      <w:pPr>
        <w:spacing w:after="0" w:line="174" w:lineRule="exact"/>
        <w:rPr>
          <w:rFonts w:ascii="Courier New" w:cs="Courier New" w:eastAsia="Courier New" w:hAnsi="Courier New"/>
          <w:sz w:val="15"/>
          <w:szCs w:val="15"/>
          <w:color w:val="auto"/>
        </w:rPr>
      </w:pPr>
    </w:p>
    <w:p>
      <w:pPr>
        <w:ind w:right="2939" w:firstLine="825"/>
        <w:spacing w:after="0" w:line="251" w:lineRule="auto"/>
        <w:tabs>
          <w:tab w:leader="none" w:pos="12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AT OPTION OF HOLDER. If there is a Fundamental Change, the Company shall be required to offer to purchase on the Purchase Date all outstanding Notes at a purchase price equal to 100% of the aggregate principal amount thereof, plus accrued and unpaid interest and Special Interest, if any, to the Purchase Date. Holders of Notes that are subject to an offer to purchase will receive a Fundamental Change Offer from the Company in accordance with</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A-52</w:t>
      </w:r>
    </w:p>
    <w:p>
      <w:pPr>
        <w:sectPr>
          <w:pgSz w:w="11900" w:h="16838" w:orient="portrait"/>
          <w:cols w:equalWidth="0" w:num="1">
            <w:col w:w="10219"/>
          </w:cols>
          <w:pgMar w:left="240" w:top="295"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115</w:t>
      </w:r>
    </w:p>
    <w:p>
      <w:pPr>
        <w:spacing w:after="0" w:line="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Section 3.09 of the Indenture and may elect to have such Notes or portions thereof in authorized denominations purchased by completing the form entitled "Option of Holder to Elect Purchase" appearing below.</w:t>
      </w:r>
    </w:p>
    <w:p>
      <w:pPr>
        <w:spacing w:after="0" w:line="175" w:lineRule="exact"/>
        <w:rPr>
          <w:sz w:val="20"/>
          <w:szCs w:val="20"/>
          <w:color w:val="auto"/>
        </w:rPr>
      </w:pPr>
    </w:p>
    <w:p>
      <w:pPr>
        <w:ind w:right="2839" w:firstLine="825"/>
        <w:spacing w:after="0" w:line="251" w:lineRule="auto"/>
        <w:tabs>
          <w:tab w:leader="none" w:pos="120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The payment of the principal of, interest on, Special Interest or any other amounts due on the Notes is subordinated in right of payment to all existing and future Senior Debt of the Company, as described in the Indenture. Each Holder, by accepting a Note, agrees to such subordination and authorizes and directs the Trustee on its behalf to take such action as may be necessary or appropriate to effectuate the subordination so provided and appoints the Trustee as its attorney-in-fact for such purpose.</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20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holder of any Note has the right, exercisable at any time following the Issuance Date and prior to the close of business (New York time) on the date of the Note's maturity, to convert the principal amount thereof (or any portion thereof that is an integral multiple of $1,000) into shares of Common Stock at the initial Conversion Price of $115.47 per share, subject to adjustment under certain circumstances as set forth in the Indenture, except that if a Note is called for redemption, the conversion right will terminate at the close of business on the Business Day immediately preceding the date fixed for redemption.</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To convert a Note, a holder must (1) complete and sign a conversion notice substantially in the form set forth below, (2) surrender the Note to a Conversion Agent, (3) furnish appropriate endorsements or transfer documents if required by the Registrar or Conversion Agent and (4) pay any transfer or similar tax, if required. No payment or adjustment will be made for accrued and unpaid interest on a converted Note, but if any holder surrenders a Note for conversion after the close of business on the record date for the payment of an installment of interest and prior to the opening of business on the next interest payment date, then, notwithstanding such conversion, the interest payable on such interest payment date shall be paid to the holder of such Note on such record date. Any Notes that are, however, delivered to the Company for conversion after any record date but before the next interest payment date must, except as described in the next sentence, be accompanied by a payment equal to the interest payable on such interest payment date on the principal amount of such Notes being converted. Payments to the Company described in the preceding sentence shall not be required if, during that period between a record date and the next interest payment date, a conversion occurs on or after the date that the Company has issued a redemption notice and prior to the date of redemption stated in such notice. If any Notes are converted after an interest payment date but on or before the next record date, no interest will be paid on those Notes. The number of shares issuable upon conversion of a Note is determined by dividing the principal amount of the Note converted by the Conversion Price in effect on the Conversion Date. No fractional shares will be issued upon conversion but a cash adjustment will be made for any fractional interest.</w:t>
      </w:r>
    </w:p>
    <w:p>
      <w:pPr>
        <w:spacing w:after="0" w:line="188"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A note in respect of which a holder has delivered an "Option of Holder to Elect Purchase" form appearing below exercising the option of such holder to require the Company to purchase such Note may be converted only if the notice of exercise is withdrawn as provided above and in accordance with the terms of the Indenture. The above description of conversion of the Notes is qualified by reference to, and is subject in its entirety by, the more complete description thereof contained in the Indenture.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A-53</w:t>
      </w:r>
    </w:p>
    <w:p>
      <w:pPr>
        <w:sectPr>
          <w:pgSz w:w="11900" w:h="16838" w:orient="portrait"/>
          <w:cols w:equalWidth="0" w:num="1">
            <w:col w:w="10219"/>
          </w:cols>
          <w:pgMar w:left="240" w:top="295"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5"/>
          <w:szCs w:val="15"/>
          <w:color w:val="auto"/>
        </w:rPr>
        <w:t>116</w:t>
      </w:r>
    </w:p>
    <w:p>
      <w:pPr>
        <w:spacing w:after="0" w:line="8" w:lineRule="exact"/>
        <w:rPr>
          <w:sz w:val="20"/>
          <w:szCs w:val="20"/>
          <w:color w:val="auto"/>
        </w:rPr>
      </w:pPr>
    </w:p>
    <w:p>
      <w:pPr>
        <w:ind w:left="-280" w:right="2939" w:firstLine="825"/>
        <w:spacing w:after="0" w:line="250" w:lineRule="auto"/>
        <w:tabs>
          <w:tab w:leader="none" w:pos="9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TRANSFER, EXCHANGE. The notes are in registered form, without coupons, in denominations of $1,000 and integral multiples of $1,000. The transfer of Notes may be registered, and Notes may be exchanged, as provided in the Indenture. The Registrar may require a Holder, among other things, to furnish appropriate endorsements and transfer documents and to pay any taxes and fees required by law or permitted by the Indenture. The Registrar need not exchange or register the transfer of any Note or portion of a Note selected for redemption (except the unredeemed portion of any Note being redeemed in part). Also, it need not exchange or register the transfer of any Note for a period of 15 days before a selection of Notes to be redeemed.</w:t>
      </w:r>
    </w:p>
    <w:p>
      <w:pPr>
        <w:spacing w:after="0" w:line="181" w:lineRule="exact"/>
        <w:rPr>
          <w:rFonts w:ascii="Courier New" w:cs="Courier New" w:eastAsia="Courier New" w:hAnsi="Courier New"/>
          <w:sz w:val="15"/>
          <w:szCs w:val="15"/>
          <w:color w:val="auto"/>
        </w:rPr>
      </w:pPr>
    </w:p>
    <w:p>
      <w:pPr>
        <w:ind w:left="-280" w:right="3399" w:firstLine="825"/>
        <w:spacing w:after="0" w:line="253" w:lineRule="auto"/>
        <w:tabs>
          <w:tab w:leader="none" w:pos="9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DEEMED OWNERS. The registered Holder of a Note may be treated as its owner for all purposes.</w:t>
      </w:r>
    </w:p>
    <w:p>
      <w:pPr>
        <w:spacing w:after="0" w:line="174" w:lineRule="exact"/>
        <w:rPr>
          <w:rFonts w:ascii="Courier New" w:cs="Courier New" w:eastAsia="Courier New" w:hAnsi="Courier New"/>
          <w:sz w:val="15"/>
          <w:szCs w:val="15"/>
          <w:color w:val="auto"/>
        </w:rPr>
      </w:pPr>
    </w:p>
    <w:p>
      <w:pPr>
        <w:ind w:left="-280" w:right="2839" w:firstLine="825"/>
        <w:spacing w:after="0" w:line="251" w:lineRule="auto"/>
        <w:tabs>
          <w:tab w:leader="none" w:pos="9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UNCLAIMED MONEY. If money for the payment of principal or interest remains unclaimed for two years, the Trustee and the Paying Agent shall pay the money back to the Company at its written request. After that, Holders of Notes entitled to the money must look to the Company for payment unless an abandoned property law designates another Person and all liability of the Trustee and such Paying Agent with respect to such money shall cease.</w:t>
      </w:r>
    </w:p>
    <w:p>
      <w:pPr>
        <w:spacing w:after="0" w:line="175" w:lineRule="exact"/>
        <w:rPr>
          <w:rFonts w:ascii="Courier New" w:cs="Courier New" w:eastAsia="Courier New" w:hAnsi="Courier New"/>
          <w:sz w:val="15"/>
          <w:szCs w:val="15"/>
          <w:color w:val="auto"/>
        </w:rPr>
      </w:pPr>
    </w:p>
    <w:p>
      <w:pPr>
        <w:ind w:left="-280" w:right="2839" w:firstLine="825"/>
        <w:spacing w:after="0" w:line="250" w:lineRule="auto"/>
        <w:tabs>
          <w:tab w:leader="none" w:pos="9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AND REMEDIES. The Notes shall have the Events of Default set forth in Section 8.01 of the Indenture. Subject to certain limitations in the Indenture, if an Event of Default occurs and is continuing, the Trustee by notice to the Company or the Holders of at least 25% in aggregate principal amount of the then outstanding Notes by notice to the Company and the Trustee may declare all the Notes to be due and payable immediately, except that in the case of an Event of Default arising from certain events of bankruptcy, insolvency or reorganization, all unpaid principal and interest accrued on the Notes shall become due and payable immediately without further action or notice. The Holders of a majority in principal amount of the Notes then outstanding by written notice to the Trustee may rescind an acceleration and its consequences if the rescission would not conflict with any judgment or decree and if all existing Events of Default have been cured or waived except nonpayment of principal or interest that has become due solely because of the acceleration. Holders may not enforce the Indenture or the Notes except as provided in the Indenture. Subject to certain limitations, Holders of a majority in principal amount of the then outstanding Notes issued under the Indenture may direct the Trustee in its exercise of any trust or power. The Company must furnish annually compliance certificates to the Trustee. The above description of Events of Default and remedies is qualified by reference, and subject in its entirety, to the more complete description thereof contained in the Indenture.</w:t>
      </w:r>
    </w:p>
    <w:p>
      <w:pPr>
        <w:spacing w:after="0" w:line="186" w:lineRule="exact"/>
        <w:rPr>
          <w:rFonts w:ascii="Courier New" w:cs="Courier New" w:eastAsia="Courier New" w:hAnsi="Courier New"/>
          <w:sz w:val="15"/>
          <w:szCs w:val="15"/>
          <w:color w:val="auto"/>
        </w:rPr>
      </w:pPr>
    </w:p>
    <w:p>
      <w:pPr>
        <w:ind w:left="-280" w:right="2839" w:firstLine="825"/>
        <w:spacing w:after="0" w:line="250" w:lineRule="auto"/>
        <w:tabs>
          <w:tab w:leader="none" w:pos="9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SUPPLEMENTS AND WAIVERS. Subject to certain exceptions, the Indenture or the Notes may be amended or supplemented with the consent of the Holders of at least a majority in principal amount of the then outstanding Notes (including consents obtained in connection with a tender offer or exchange offer for Notes), and any existing default may be waived with the consent of the Holders of a majority in principal amount of the then outstanding Notes. Without the consent of any Holder, the Indenture or the Notes may be amended, among other reasons, to cure any ambiguity, defect or inconsistency, to provide for uncertificated Notes in addition to or in place of certificated Notes, to provide for assumption of the Company's obligations to Holders, to make any change that does not adversely affect the rights of any Holder or to qualify the Indenture under the TIA or to comply with the requirements of the SEC in order to maintain the qualification of the Indenture under the TIA.</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A-54</w:t>
      </w:r>
    </w:p>
    <w:p>
      <w:pPr>
        <w:sectPr>
          <w:pgSz w:w="11900" w:h="16838" w:orient="portrait"/>
          <w:cols w:equalWidth="0" w:num="1">
            <w:col w:w="9939"/>
          </w:cols>
          <w:pgMar w:left="520" w:top="295"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117</w:t>
      </w:r>
    </w:p>
    <w:p>
      <w:pPr>
        <w:spacing w:after="0" w:line="8" w:lineRule="exact"/>
        <w:rPr>
          <w:sz w:val="20"/>
          <w:szCs w:val="20"/>
          <w:color w:val="auto"/>
        </w:rPr>
      </w:pPr>
    </w:p>
    <w:p>
      <w:pPr>
        <w:ind w:right="2939" w:firstLine="825"/>
        <w:spacing w:after="0" w:line="251" w:lineRule="auto"/>
        <w:tabs>
          <w:tab w:leader="none" w:pos="12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DEALINGS WITH THE COMPANY. The Trustee, in its individual or any other capacity may become the owner or pledgee of the Notes and may otherwise deal with the Company or an Affiliate with the same rights it would have, as if it were not Trustee, subject to certain limitations provided for in the Indenture and in the TIA. Any Agent may do the same with like rights.</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2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AGAINST OTHERS. A director, officer, employee, incorporator or shareholder of the Company, as such, shall not have any liability for any obligations of the Company under the Notes or the Indenture or for any claim based on, in respect of or by reason of such obligations or their creation. Each Holder of the Notes by accepting a Note waives and releases all such liability. The waiver and release are part of the consideration for the issue of the Notes.</w:t>
      </w:r>
    </w:p>
    <w:p>
      <w:pPr>
        <w:spacing w:after="0" w:line="175" w:lineRule="exact"/>
        <w:rPr>
          <w:rFonts w:ascii="Courier New" w:cs="Courier New" w:eastAsia="Courier New" w:hAnsi="Courier New"/>
          <w:sz w:val="15"/>
          <w:szCs w:val="15"/>
          <w:color w:val="auto"/>
        </w:rPr>
      </w:pPr>
    </w:p>
    <w:p>
      <w:pPr>
        <w:ind w:right="2939" w:firstLine="825"/>
        <w:spacing w:after="0" w:line="252" w:lineRule="auto"/>
        <w:tabs>
          <w:tab w:leader="none" w:pos="12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INTERNAL LAWS OF THE STATE OF NEW YORK SHALL GOVERN THE INDENTURE AND THE NOTES WITHOUT REGARD TO CONFLICT OF LAW PROVISIONS THEREOF.</w:t>
      </w:r>
    </w:p>
    <w:p>
      <w:pPr>
        <w:spacing w:after="0" w:line="174" w:lineRule="exact"/>
        <w:rPr>
          <w:rFonts w:ascii="Courier New" w:cs="Courier New" w:eastAsia="Courier New" w:hAnsi="Courier New"/>
          <w:sz w:val="15"/>
          <w:szCs w:val="15"/>
          <w:color w:val="auto"/>
        </w:rPr>
      </w:pPr>
    </w:p>
    <w:p>
      <w:pPr>
        <w:ind w:right="2839" w:firstLine="825"/>
        <w:spacing w:after="0" w:line="252" w:lineRule="auto"/>
        <w:tabs>
          <w:tab w:leader="none" w:pos="12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AUTHENTICATION. The Notes shall not be valid until authenticated by the manual signature of an authorized officer of the Trustee or an authenticating agent.</w:t>
      </w:r>
    </w:p>
    <w:p>
      <w:pPr>
        <w:spacing w:after="0" w:line="174" w:lineRule="exact"/>
        <w:rPr>
          <w:rFonts w:ascii="Courier New" w:cs="Courier New" w:eastAsia="Courier New" w:hAnsi="Courier New"/>
          <w:sz w:val="15"/>
          <w:szCs w:val="15"/>
          <w:color w:val="auto"/>
        </w:rPr>
      </w:pPr>
    </w:p>
    <w:p>
      <w:pPr>
        <w:ind w:right="2839" w:firstLine="825"/>
        <w:spacing w:after="0" w:line="252" w:lineRule="auto"/>
        <w:tabs>
          <w:tab w:leader="none" w:pos="12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351" w:lineRule="exact"/>
        <w:rPr>
          <w:sz w:val="20"/>
          <w:szCs w:val="20"/>
          <w:color w:val="auto"/>
        </w:rPr>
      </w:pPr>
    </w:p>
    <w:p>
      <w:pPr>
        <w:ind w:right="2939" w:firstLine="1661"/>
        <w:spacing w:after="0" w:line="252" w:lineRule="auto"/>
        <w:rPr>
          <w:sz w:val="20"/>
          <w:szCs w:val="20"/>
          <w:color w:val="auto"/>
        </w:rPr>
      </w:pPr>
      <w:r>
        <w:rPr>
          <w:rFonts w:ascii="Courier New" w:cs="Courier New" w:eastAsia="Courier New" w:hAnsi="Courier New"/>
          <w:sz w:val="15"/>
          <w:szCs w:val="15"/>
          <w:color w:val="auto"/>
        </w:rPr>
        <w:t>The Company will furnish to any Holder of the Notes upon written request and without charge a copy of the Indenture. Request may be made to:</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Akamai Technologies,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500 Technology Square</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Cambridge, Massachusetts 02139</w:t>
      </w:r>
    </w:p>
    <w:p>
      <w:pPr>
        <w:spacing w:after="0" w:line="8" w:lineRule="exact"/>
        <w:rPr>
          <w:sz w:val="20"/>
          <w:szCs w:val="20"/>
          <w:color w:val="auto"/>
        </w:rPr>
      </w:pPr>
    </w:p>
    <w:p>
      <w:pPr>
        <w:ind w:left="1660"/>
        <w:spacing w:after="0"/>
        <w:tabs>
          <w:tab w:leader="none" w:pos="274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A-55</w:t>
      </w:r>
    </w:p>
    <w:p>
      <w:pPr>
        <w:sectPr>
          <w:pgSz w:w="11900" w:h="16838" w:orient="portrait"/>
          <w:cols w:equalWidth="0" w:num="1">
            <w:col w:w="10219"/>
          </w:cols>
          <w:pgMar w:left="240" w:top="296"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118</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ASSIGNMENT FORM</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TO ASSIGN THIS NOTE, FILL IN THE FORM BELOW:</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 ASSIGNMENT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or we, assign this Note to: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(Print or type name, address and zip code of assignee)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(Please insert Social Security or other identifying number of assignee)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irrevocably appoint _______________ agent to transfer this Note on the books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 The agent may substitute another to act for him.</w:t>
      </w:r>
    </w:p>
    <w:p>
      <w:pPr>
        <w:spacing w:after="0" w:line="200" w:lineRule="exact"/>
        <w:rPr>
          <w:sz w:val="20"/>
          <w:szCs w:val="20"/>
          <w:color w:val="auto"/>
        </w:rPr>
      </w:pPr>
    </w:p>
    <w:p>
      <w:pPr>
        <w:spacing w:after="0" w:line="340"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5"/>
          <w:szCs w:val="15"/>
          <w:color w:val="auto"/>
        </w:rPr>
        <w:t>Dated:_______________________</w:t>
      </w:r>
      <w:r>
        <w:rPr>
          <w:sz w:val="20"/>
          <w:szCs w:val="20"/>
          <w:color w:val="auto"/>
        </w:rPr>
        <w:tab/>
      </w:r>
      <w:r>
        <w:rPr>
          <w:rFonts w:ascii="Courier New" w:cs="Courier New" w:eastAsia="Courier New" w:hAnsi="Courier New"/>
          <w:sz w:val="15"/>
          <w:szCs w:val="15"/>
          <w:color w:val="auto"/>
        </w:rPr>
        <w:t>Signed:________________________________________</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 exactly as your name appears on</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other side of this Note)</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Print Name:____________________________________</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Signature Guarantee:*__________________________</w:t>
      </w:r>
    </w:p>
    <w:p>
      <w:pPr>
        <w:spacing w:after="0" w:line="18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*Signatures must be guaranteed by a commercial bank, trust company or member firm of the New York Stock Exchange.</w:t>
      </w:r>
    </w:p>
    <w:p>
      <w:pPr>
        <w:spacing w:after="0" w:line="174"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__________________________</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II. TRANSFEROR REPRESENTATIONS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 connection with any transfer of any of the Notes evidenced by this certificate occurring prior to the date that is two years after the later of the date of original issuance of such Notes and the last date, if any, on which such Notes were owned by the Company or any Affiliate of the company, the undersigned confirms that such Notes are being transferred:</w:t>
      </w:r>
    </w:p>
    <w:p>
      <w:pPr>
        <w:spacing w:after="0" w:line="200" w:lineRule="exact"/>
        <w:rPr>
          <w:sz w:val="20"/>
          <w:szCs w:val="20"/>
          <w:color w:val="auto"/>
        </w:rPr>
      </w:pPr>
    </w:p>
    <w:p>
      <w:pPr>
        <w:spacing w:after="0" w:line="33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A-56</w:t>
      </w:r>
    </w:p>
    <w:p>
      <w:pPr>
        <w:sectPr>
          <w:pgSz w:w="11900" w:h="16838" w:orient="portrait"/>
          <w:cols w:equalWidth="0" w:num="1">
            <w:col w:w="10219"/>
          </w:cols>
          <w:pgMar w:left="240" w:top="296" w:right="1440" w:bottom="1440" w:gutter="0" w:footer="0" w:header="0"/>
        </w:sectPr>
      </w:pPr>
    </w:p>
    <w:bookmarkStart w:id="164" w:name="page165"/>
    <w:bookmarkEnd w:id="164"/>
    <w:p>
      <w:pPr>
        <w:ind w:left="285"/>
        <w:spacing w:after="0"/>
        <w:rPr>
          <w:sz w:val="20"/>
          <w:szCs w:val="20"/>
          <w:color w:val="auto"/>
        </w:rPr>
      </w:pPr>
      <w:r>
        <w:rPr>
          <w:rFonts w:ascii="Courier New" w:cs="Courier New" w:eastAsia="Courier New" w:hAnsi="Courier New"/>
          <w:sz w:val="15"/>
          <w:szCs w:val="15"/>
          <w:color w:val="auto"/>
        </w:rPr>
        <w:t>119</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CHECK ONE BOX BELOW</w:t>
      </w:r>
    </w:p>
    <w:p>
      <w:pPr>
        <w:spacing w:after="0" w:line="185" w:lineRule="exact"/>
        <w:rPr>
          <w:sz w:val="20"/>
          <w:szCs w:val="20"/>
          <w:color w:val="auto"/>
        </w:rPr>
      </w:pPr>
    </w:p>
    <w:p>
      <w:pPr>
        <w:ind w:left="825" w:right="3119" w:hanging="825"/>
        <w:spacing w:after="0" w:line="253" w:lineRule="auto"/>
        <w:tabs>
          <w:tab w:leader="none" w:pos="36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to the Company or any subsidiary thereof (attach Restricted Transfer Certificate),</w:t>
      </w:r>
    </w:p>
    <w:p>
      <w:pPr>
        <w:spacing w:after="0" w:line="174" w:lineRule="exact"/>
        <w:rPr>
          <w:rFonts w:ascii="Courier New" w:cs="Courier New" w:eastAsia="Courier New" w:hAnsi="Courier New"/>
          <w:sz w:val="15"/>
          <w:szCs w:val="15"/>
          <w:color w:val="auto"/>
        </w:rPr>
      </w:pPr>
    </w:p>
    <w:p>
      <w:pPr>
        <w:ind w:left="825" w:right="2839" w:hanging="825"/>
        <w:spacing w:after="0" w:line="253" w:lineRule="auto"/>
        <w:tabs>
          <w:tab w:leader="none" w:pos="36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to a qualified institutional buyer in compliance with Rule 144A (attach Rule 144A Transfer Certificate),</w:t>
      </w:r>
    </w:p>
    <w:p>
      <w:pPr>
        <w:spacing w:after="0" w:line="174"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outside the United States in compliance with Rule 904 under the</w:t>
      </w:r>
    </w:p>
    <w:p>
      <w:pPr>
        <w:spacing w:after="0" w:line="7"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(attach Regulation S Transfer Certificate),</w:t>
      </w:r>
    </w:p>
    <w:p>
      <w:pPr>
        <w:spacing w:after="0" w:line="184" w:lineRule="exact"/>
        <w:rPr>
          <w:rFonts w:ascii="Courier New" w:cs="Courier New" w:eastAsia="Courier New" w:hAnsi="Courier New"/>
          <w:sz w:val="15"/>
          <w:szCs w:val="15"/>
          <w:color w:val="auto"/>
        </w:rPr>
      </w:pPr>
    </w:p>
    <w:p>
      <w:pPr>
        <w:ind w:left="825" w:right="2939" w:hanging="825"/>
        <w:spacing w:after="0" w:line="252" w:lineRule="auto"/>
        <w:tabs>
          <w:tab w:leader="none" w:pos="36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pursuant to the exemption from registration provided by Rule 144 under the Securities Act (if available) (attach Restricted Transfer Certificate),</w:t>
      </w:r>
    </w:p>
    <w:p>
      <w:pPr>
        <w:spacing w:after="0" w:line="174" w:lineRule="exact"/>
        <w:rPr>
          <w:rFonts w:ascii="Courier New" w:cs="Courier New" w:eastAsia="Courier New" w:hAnsi="Courier New"/>
          <w:sz w:val="15"/>
          <w:szCs w:val="15"/>
          <w:color w:val="auto"/>
        </w:rPr>
      </w:pPr>
    </w:p>
    <w:p>
      <w:pPr>
        <w:ind w:left="825" w:right="2839" w:hanging="825"/>
        <w:spacing w:after="0" w:line="252" w:lineRule="auto"/>
        <w:tabs>
          <w:tab w:leader="none" w:pos="36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to an institutional "accredited investor" (as defined in rule 501(a)(1), (2), (3), or (7) under the Securities Act (attach Accredited Investor Letter),</w:t>
      </w:r>
    </w:p>
    <w:p>
      <w:pPr>
        <w:spacing w:after="0" w:line="174" w:lineRule="exact"/>
        <w:rPr>
          <w:rFonts w:ascii="Courier New" w:cs="Courier New" w:eastAsia="Courier New" w:hAnsi="Courier New"/>
          <w:sz w:val="15"/>
          <w:szCs w:val="15"/>
          <w:color w:val="auto"/>
        </w:rPr>
      </w:pPr>
    </w:p>
    <w:p>
      <w:pPr>
        <w:ind w:left="825" w:right="2839" w:hanging="825"/>
        <w:spacing w:after="0" w:line="253" w:lineRule="auto"/>
        <w:tabs>
          <w:tab w:leader="none" w:pos="36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in accordance with another exemption from the registration requirements of the Securities Act (attach legal opinion), or</w:t>
      </w:r>
    </w:p>
    <w:p>
      <w:pPr>
        <w:spacing w:after="0" w:line="174" w:lineRule="exact"/>
        <w:rPr>
          <w:rFonts w:ascii="Courier New" w:cs="Courier New" w:eastAsia="Courier New" w:hAnsi="Courier New"/>
          <w:sz w:val="15"/>
          <w:szCs w:val="15"/>
          <w:color w:val="auto"/>
        </w:rPr>
      </w:pPr>
    </w:p>
    <w:p>
      <w:pPr>
        <w:ind w:left="825" w:right="3119" w:hanging="825"/>
        <w:spacing w:after="0" w:line="253" w:lineRule="auto"/>
        <w:tabs>
          <w:tab w:leader="none" w:pos="36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pursuant to an effective registration statement under the Securities Act.</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CHECK IF APPLICABLE</w:t>
      </w:r>
    </w:p>
    <w:p>
      <w:pPr>
        <w:spacing w:after="0" w:line="185" w:lineRule="exact"/>
        <w:rPr>
          <w:sz w:val="20"/>
          <w:szCs w:val="20"/>
          <w:color w:val="auto"/>
        </w:rPr>
      </w:pPr>
    </w:p>
    <w:p>
      <w:pPr>
        <w:ind w:left="825" w:right="3119" w:hanging="825"/>
        <w:spacing w:after="0" w:line="253" w:lineRule="auto"/>
        <w:tabs>
          <w:tab w:leader="none" w:pos="18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The undersigned represents and warrants that it is, or at some time during which it held this Security was, an Affiliate of the Company.</w:t>
      </w:r>
    </w:p>
    <w:p>
      <w:pPr>
        <w:spacing w:after="0" w:line="174" w:lineRule="exact"/>
        <w:rPr>
          <w:rFonts w:ascii="Courier New" w:cs="Courier New" w:eastAsia="Courier New" w:hAnsi="Courier New"/>
          <w:sz w:val="15"/>
          <w:szCs w:val="15"/>
          <w:color w:val="auto"/>
        </w:rPr>
      </w:pPr>
    </w:p>
    <w:p>
      <w:pPr>
        <w:ind w:left="825" w:right="2939" w:hanging="456"/>
        <w:spacing w:after="0" w:line="252" w:lineRule="auto"/>
        <w:tabs>
          <w:tab w:leader="none" w:pos="825"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above is checked and if the undersigned was not an Affiliate of the Company at all times during which it held this Note, indicate the periods during which the undersigned was an Affiliate of the Company:</w:t>
      </w:r>
    </w:p>
    <w:p>
      <w:pPr>
        <w:spacing w:after="0" w:line="17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w:t>
      </w:r>
    </w:p>
    <w:p>
      <w:pPr>
        <w:spacing w:after="0" w:line="184" w:lineRule="exact"/>
        <w:rPr>
          <w:rFonts w:ascii="Courier New" w:cs="Courier New" w:eastAsia="Courier New" w:hAnsi="Courier New"/>
          <w:sz w:val="15"/>
          <w:szCs w:val="15"/>
          <w:color w:val="auto"/>
        </w:rPr>
      </w:pPr>
    </w:p>
    <w:p>
      <w:pPr>
        <w:ind w:left="825" w:right="2839" w:hanging="456"/>
        <w:spacing w:after="0" w:line="252" w:lineRule="auto"/>
        <w:tabs>
          <w:tab w:leader="none" w:pos="825"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above is checked and if the Transferee will not pay the full purchase price for the transfer of this Note on or prior to the date of transfer, indicate when such purchase price will be paid:</w:t>
      </w:r>
    </w:p>
    <w:p>
      <w:pPr>
        <w:spacing w:after="0" w:line="17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w:t>
      </w:r>
    </w:p>
    <w:p>
      <w:pPr>
        <w:spacing w:after="0" w:line="200" w:lineRule="exact"/>
        <w:rPr>
          <w:sz w:val="20"/>
          <w:szCs w:val="20"/>
          <w:color w:val="auto"/>
        </w:rPr>
      </w:pPr>
    </w:p>
    <w:p>
      <w:pPr>
        <w:spacing w:after="0" w:line="340"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A-57</w:t>
      </w:r>
    </w:p>
    <w:p>
      <w:pPr>
        <w:sectPr>
          <w:pgSz w:w="11900" w:h="16838" w:orient="portrait"/>
          <w:cols w:equalWidth="0" w:num="1">
            <w:col w:w="10225"/>
          </w:cols>
          <w:pgMar w:left="235" w:top="295" w:right="1440" w:bottom="1440" w:gutter="0" w:footer="0" w:header="0"/>
        </w:sectPr>
      </w:pPr>
    </w:p>
    <w:bookmarkStart w:id="165" w:name="page166"/>
    <w:bookmarkEnd w:id="165"/>
    <w:p>
      <w:pPr>
        <w:ind w:left="285"/>
        <w:spacing w:after="0"/>
        <w:rPr>
          <w:sz w:val="20"/>
          <w:szCs w:val="20"/>
          <w:color w:val="auto"/>
        </w:rPr>
      </w:pPr>
      <w:r>
        <w:rPr>
          <w:rFonts w:ascii="Courier New" w:cs="Courier New" w:eastAsia="Courier New" w:hAnsi="Courier New"/>
          <w:sz w:val="15"/>
          <w:szCs w:val="15"/>
          <w:color w:val="auto"/>
        </w:rPr>
        <w:t>120</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THE UNDERSIGNED HEREBY AGREES THAT, UNLESS THE BOX ABOVE UNDER ITEM (A) IS CHECKED, THE UNDERSIGNED SHALL BE DEEMED TO HAVE REPRESENTED THAT IT IS NOT NOR HAS IT BEEN AT ANY TIME DURING WHICH IT HELD THIS NOTE AN AFFILIATE, AS DEFINED IN RULE 144 UNDER THE SECURITIES ACT OF 1933, AS AMENDED, OF THE COMPANY.</w:t>
      </w:r>
    </w:p>
    <w:p>
      <w:pPr>
        <w:spacing w:after="0" w:line="176"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8" w:lineRule="exact"/>
        <w:rPr>
          <w:sz w:val="20"/>
          <w:szCs w:val="20"/>
          <w:color w:val="auto"/>
        </w:rPr>
      </w:pPr>
    </w:p>
    <w:p>
      <w:pPr>
        <w:ind w:left="4885"/>
        <w:spacing w:after="0"/>
        <w:rPr>
          <w:sz w:val="20"/>
          <w:szCs w:val="20"/>
          <w:color w:val="auto"/>
        </w:rPr>
      </w:pPr>
      <w:r>
        <w:rPr>
          <w:rFonts w:ascii="Courier New" w:cs="Courier New" w:eastAsia="Courier New" w:hAnsi="Courier New"/>
          <w:sz w:val="15"/>
          <w:szCs w:val="15"/>
          <w:color w:val="auto"/>
        </w:rPr>
        <w:t>(Signature)</w:t>
      </w:r>
    </w:p>
    <w:p>
      <w:pPr>
        <w:spacing w:after="0" w:line="36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Signature Guarantee*____________________</w:t>
      </w:r>
    </w:p>
    <w:p>
      <w:pPr>
        <w:spacing w:after="0" w:line="185" w:lineRule="exact"/>
        <w:rPr>
          <w:sz w:val="20"/>
          <w:szCs w:val="20"/>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*Signatures must be guaranteed by a commercial bank, trust company or member firm of the New York Stock Exchange.</w:t>
      </w:r>
    </w:p>
    <w:p>
      <w:pPr>
        <w:spacing w:after="0" w:line="174" w:lineRule="exact"/>
        <w:rPr>
          <w:sz w:val="20"/>
          <w:szCs w:val="20"/>
          <w:color w:val="auto"/>
        </w:rPr>
      </w:pPr>
    </w:p>
    <w:p>
      <w:pPr>
        <w:ind w:left="825" w:hanging="825"/>
        <w:spacing w:after="0"/>
        <w:tabs>
          <w:tab w:leader="none" w:pos="82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TRANSFEREE REPRESENTATIONS</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BE COMPLETED BY PURCHASER IF (2) ABOVE IS CHECKED.</w:t>
      </w:r>
    </w:p>
    <w:p>
      <w:pPr>
        <w:spacing w:after="0" w:line="362" w:lineRule="exact"/>
        <w:rPr>
          <w:sz w:val="20"/>
          <w:szCs w:val="20"/>
          <w:color w:val="auto"/>
        </w:rPr>
      </w:pPr>
    </w:p>
    <w:p>
      <w:pPr>
        <w:ind w:left="825" w:right="2939" w:firstLine="830"/>
        <w:spacing w:after="0" w:line="250" w:lineRule="auto"/>
        <w:rPr>
          <w:sz w:val="20"/>
          <w:szCs w:val="20"/>
          <w:color w:val="auto"/>
        </w:rPr>
      </w:pPr>
      <w:r>
        <w:rPr>
          <w:rFonts w:ascii="Courier New" w:cs="Courier New" w:eastAsia="Courier New" w:hAnsi="Courier New"/>
          <w:sz w:val="15"/>
          <w:szCs w:val="15"/>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2" w:lineRule="exact"/>
        <w:rPr>
          <w:sz w:val="20"/>
          <w:szCs w:val="20"/>
          <w:color w:val="auto"/>
        </w:rPr>
      </w:pPr>
    </w:p>
    <w:p>
      <w:pPr>
        <w:ind w:left="5"/>
        <w:spacing w:after="0"/>
        <w:tabs>
          <w:tab w:leader="none" w:pos="3125" w:val="left"/>
        </w:tabs>
        <w:rPr>
          <w:sz w:val="20"/>
          <w:szCs w:val="20"/>
          <w:color w:val="auto"/>
        </w:rPr>
      </w:pPr>
      <w:r>
        <w:rPr>
          <w:rFonts w:ascii="Courier New" w:cs="Courier New" w:eastAsia="Courier New" w:hAnsi="Courier New"/>
          <w:sz w:val="15"/>
          <w:szCs w:val="15"/>
          <w:color w:val="auto"/>
        </w:rPr>
        <w:t>Dated:___________________</w:t>
      </w:r>
      <w:r>
        <w:rPr>
          <w:sz w:val="20"/>
          <w:szCs w:val="20"/>
          <w:color w:val="auto"/>
        </w:rPr>
        <w:tab/>
      </w:r>
      <w:r>
        <w:rPr>
          <w:rFonts w:ascii="Courier New" w:cs="Courier New" w:eastAsia="Courier New" w:hAnsi="Courier New"/>
          <w:sz w:val="15"/>
          <w:szCs w:val="15"/>
          <w:color w:val="auto"/>
        </w:rPr>
        <w:t>Signed:_____________________________</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3785"/>
        <w:spacing w:after="0"/>
        <w:tabs>
          <w:tab w:leader="none" w:pos="4585" w:val="left"/>
        </w:tabs>
        <w:rPr>
          <w:sz w:val="20"/>
          <w:szCs w:val="20"/>
          <w:color w:val="auto"/>
        </w:rPr>
      </w:pPr>
      <w:r>
        <w:rPr>
          <w:rFonts w:ascii="Courier New" w:cs="Courier New" w:eastAsia="Courier New" w:hAnsi="Courier New"/>
          <w:sz w:val="15"/>
          <w:szCs w:val="15"/>
          <w:color w:val="auto"/>
        </w:rPr>
        <w:t>NOTICE:</w:t>
        <w:tab/>
        <w:t>To be executed by an executive</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pacing w:after="0" w:line="340"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A-58</w:t>
      </w:r>
    </w:p>
    <w:p>
      <w:pPr>
        <w:sectPr>
          <w:pgSz w:w="11900" w:h="16838" w:orient="portrait"/>
          <w:cols w:equalWidth="0" w:num="1">
            <w:col w:w="10225"/>
          </w:cols>
          <w:pgMar w:left="235" w:top="296"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121</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TO BE COMPLETED BY PURCHASER IF (3) ABOVE IS CHECKED</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undersigned represents and warrants that it is not a "U.S. Person"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defined in Regulation S under the Securities Act of 1933, as amended).</w:t>
      </w:r>
    </w:p>
    <w:p>
      <w:pPr>
        <w:spacing w:after="0" w:line="185"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5"/>
          <w:szCs w:val="15"/>
          <w:color w:val="auto"/>
        </w:rPr>
        <w:t>Dated:___________________</w:t>
      </w:r>
      <w:r>
        <w:rPr>
          <w:sz w:val="20"/>
          <w:szCs w:val="20"/>
          <w:color w:val="auto"/>
        </w:rPr>
        <w:tab/>
      </w:r>
      <w:r>
        <w:rPr>
          <w:rFonts w:ascii="Courier New" w:cs="Courier New" w:eastAsia="Courier New" w:hAnsi="Courier New"/>
          <w:sz w:val="15"/>
          <w:szCs w:val="15"/>
          <w:color w:val="auto"/>
        </w:rPr>
        <w:t>Signed:_____________________________</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3780"/>
        <w:spacing w:after="0"/>
        <w:tabs>
          <w:tab w:leader="none" w:pos="4580" w:val="left"/>
        </w:tabs>
        <w:rPr>
          <w:sz w:val="20"/>
          <w:szCs w:val="20"/>
          <w:color w:val="auto"/>
        </w:rPr>
      </w:pPr>
      <w:r>
        <w:rPr>
          <w:rFonts w:ascii="Courier New" w:cs="Courier New" w:eastAsia="Courier New" w:hAnsi="Courier New"/>
          <w:sz w:val="15"/>
          <w:szCs w:val="15"/>
          <w:color w:val="auto"/>
        </w:rPr>
        <w:t>NOTICE:</w:t>
        <w:tab/>
        <w:t>To be executed by an executive</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A-59</w:t>
      </w:r>
    </w:p>
    <w:p>
      <w:pPr>
        <w:sectPr>
          <w:pgSz w:w="11900" w:h="16838" w:orient="portrait"/>
          <w:cols w:equalWidth="0" w:num="1">
            <w:col w:w="10219"/>
          </w:cols>
          <w:pgMar w:left="240" w:top="295"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5"/>
          <w:szCs w:val="15"/>
          <w:color w:val="auto"/>
        </w:rPr>
        <w:t>122</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OPTION OF HOLDER TO ELECT PURCHASE</w:t>
      </w:r>
    </w:p>
    <w:p>
      <w:pPr>
        <w:spacing w:after="0" w:line="18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If you want to elect to have this Note purchased by the Company pursuant to Section 3.09 or Section 4.07 of the Indenture, check the box: [ ]</w:t>
      </w:r>
    </w:p>
    <w:p>
      <w:pPr>
        <w:spacing w:after="0" w:line="174"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If you want to elect to have only part of this Note purchased by the Company pursuant to Section 3.09 or Section 4.07 of the Indenture, state the amount you want to be purchased (in denominations of $1,000 or any integral multiple thereof):</w:t>
      </w:r>
    </w:p>
    <w:p>
      <w:pPr>
        <w:spacing w:after="0" w:line="17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$_______________</w:t>
      </w:r>
    </w:p>
    <w:p>
      <w:pPr>
        <w:spacing w:after="0" w:line="362"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5"/>
          <w:szCs w:val="15"/>
          <w:color w:val="auto"/>
        </w:rPr>
        <w:t>Dated: _______________________</w:t>
        <w:tab/>
        <w:t>Signed: ________________________________________</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 exactly as your name appears on</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other side of this Note)</w:t>
      </w:r>
    </w:p>
    <w:p>
      <w:pPr>
        <w:spacing w:after="0" w:line="36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Signature Guarantee:*___________________________</w:t>
      </w:r>
    </w:p>
    <w:p>
      <w:pPr>
        <w:spacing w:after="0" w:line="362"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*Signatures must be guaranteed by a commercial bank, trust company or member firm of the New York Stock Exchange.</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A-60</w:t>
      </w:r>
    </w:p>
    <w:p>
      <w:pPr>
        <w:sectPr>
          <w:pgSz w:w="11900" w:h="16838" w:orient="portrait"/>
          <w:cols w:equalWidth="0" w:num="1">
            <w:col w:w="10219"/>
          </w:cols>
          <w:pgMar w:left="240" w:top="295" w:right="1440" w:bottom="1440" w:gutter="0" w:footer="0" w:header="0"/>
        </w:sectPr>
      </w:pPr>
    </w:p>
    <w:bookmarkStart w:id="168" w:name="page169"/>
    <w:bookmarkEnd w:id="168"/>
    <w:p>
      <w:pPr>
        <w:ind w:left="285"/>
        <w:spacing w:after="0"/>
        <w:rPr>
          <w:sz w:val="20"/>
          <w:szCs w:val="20"/>
          <w:color w:val="auto"/>
        </w:rPr>
      </w:pPr>
      <w:r>
        <w:rPr>
          <w:rFonts w:ascii="Courier New" w:cs="Courier New" w:eastAsia="Courier New" w:hAnsi="Courier New"/>
          <w:sz w:val="15"/>
          <w:szCs w:val="15"/>
          <w:color w:val="auto"/>
        </w:rPr>
        <w:t>123</w:t>
      </w:r>
    </w:p>
    <w:p>
      <w:pPr>
        <w:spacing w:after="0" w:line="8"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ELECTION TO CONVERT</w:t>
      </w:r>
    </w:p>
    <w:p>
      <w:pPr>
        <w:spacing w:after="0" w:line="185" w:lineRule="exact"/>
        <w:rPr>
          <w:sz w:val="20"/>
          <w:szCs w:val="20"/>
          <w:color w:val="auto"/>
        </w:rPr>
      </w:pPr>
    </w:p>
    <w:p>
      <w:pPr>
        <w:ind w:left="5"/>
        <w:spacing w:after="0"/>
        <w:tabs>
          <w:tab w:leader="none" w:pos="805"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Akamai Technologies, Inc.</w:t>
      </w:r>
    </w:p>
    <w:p>
      <w:pPr>
        <w:spacing w:after="0" w:line="362" w:lineRule="exact"/>
        <w:rPr>
          <w:sz w:val="20"/>
          <w:szCs w:val="20"/>
          <w:color w:val="auto"/>
        </w:rPr>
      </w:pPr>
    </w:p>
    <w:p>
      <w:pPr>
        <w:ind w:left="825" w:right="2839" w:firstLine="830"/>
        <w:spacing w:after="0" w:line="250" w:lineRule="auto"/>
        <w:rPr>
          <w:sz w:val="20"/>
          <w:szCs w:val="20"/>
          <w:color w:val="auto"/>
        </w:rPr>
      </w:pPr>
      <w:r>
        <w:rPr>
          <w:rFonts w:ascii="Courier New" w:cs="Courier New" w:eastAsia="Courier New" w:hAnsi="Courier New"/>
          <w:sz w:val="15"/>
          <w:szCs w:val="15"/>
          <w:color w:val="auto"/>
        </w:rPr>
        <w:t>The undersigned owner of this Note hereby irrevocably exercise the option to convert this Note, or the portion below designated, into Common Stock of Akamai Technologies, Inc. in accordance with the terms of the Indenture referred to in this Note, and directors that the shares issuable and deliverable upon conversion, together with any check in payment for fractional shares, be issued in the name of and delivered to the undersigned, unless a different name has been indicated in the assignment below. If the shares are to be issued in the name of a person other than the undersigned, the undersigned will pay all transfer taxes payable with respect thereto.</w:t>
      </w:r>
    </w:p>
    <w:p>
      <w:pPr>
        <w:spacing w:after="0" w:line="182" w:lineRule="exact"/>
        <w:rPr>
          <w:sz w:val="20"/>
          <w:szCs w:val="20"/>
          <w:color w:val="auto"/>
        </w:rPr>
      </w:pPr>
    </w:p>
    <w:p>
      <w:pPr>
        <w:ind w:left="825" w:right="2839"/>
        <w:spacing w:after="0" w:line="251" w:lineRule="auto"/>
        <w:rPr>
          <w:sz w:val="20"/>
          <w:szCs w:val="20"/>
          <w:color w:val="auto"/>
        </w:rPr>
      </w:pPr>
      <w:r>
        <w:rPr>
          <w:rFonts w:ascii="Courier New" w:cs="Courier New" w:eastAsia="Courier New" w:hAnsi="Courier New"/>
          <w:sz w:val="15"/>
          <w:szCs w:val="15"/>
          <w:color w:val="auto"/>
        </w:rPr>
        <w:t>Any holder of Notes, upon the exercise of its conversion rights in accordance with the terms of the Indenture and the Note, agrees to be bound by the terms of the Registration Rights Agreement relating to the Common Stock issuable upon conversion of the Notes.</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25"/>
          </w:cols>
          <w:pgMar w:left="235" w:top="296" w:right="1440" w:bottom="1440" w:gutter="0" w:footer="0" w:header="0"/>
        </w:sectPr>
      </w:pPr>
    </w:p>
    <w:p>
      <w:pPr>
        <w:spacing w:after="0" w:line="185" w:lineRule="exact"/>
        <w:rPr>
          <w:sz w:val="20"/>
          <w:szCs w:val="20"/>
          <w:color w:val="auto"/>
        </w:rPr>
      </w:pPr>
    </w:p>
    <w:p>
      <w:pPr>
        <w:ind w:left="1665"/>
        <w:spacing w:after="0"/>
        <w:rPr>
          <w:sz w:val="20"/>
          <w:szCs w:val="20"/>
          <w:color w:val="auto"/>
        </w:rPr>
      </w:pPr>
      <w:r>
        <w:rPr>
          <w:rFonts w:ascii="Courier New" w:cs="Courier New" w:eastAsia="Courier New" w:hAnsi="Courier New"/>
          <w:sz w:val="15"/>
          <w:szCs w:val="15"/>
          <w:color w:val="auto"/>
        </w:rPr>
        <w:t>In Whole [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Part [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follows:</w:t>
      </w:r>
    </w:p>
    <w:p>
      <w:pPr>
        <w:spacing w:after="0" w:line="185" w:lineRule="exact"/>
        <w:rPr>
          <w:sz w:val="20"/>
          <w:szCs w:val="20"/>
          <w:color w:val="auto"/>
        </w:rPr>
      </w:pPr>
    </w:p>
    <w:p>
      <w:pPr>
        <w:sectPr>
          <w:pgSz w:w="11900" w:h="16838" w:orient="portrait"/>
          <w:cols w:equalWidth="0" w:num="3">
            <w:col w:w="3345" w:space="720"/>
            <w:col w:w="1000" w:space="480"/>
            <w:col w:w="4679"/>
          </w:cols>
          <w:pgMar w:left="235" w:top="296" w:right="1440" w:bottom="1440" w:gutter="0" w:footer="0" w:header="0"/>
          <w:type w:val="continuous"/>
        </w:sectPr>
      </w:pPr>
    </w:p>
    <w:p>
      <w:pPr>
        <w:ind w:left="4065"/>
        <w:spacing w:after="0"/>
        <w:rPr>
          <w:sz w:val="20"/>
          <w:szCs w:val="20"/>
          <w:color w:val="auto"/>
        </w:rPr>
      </w:pPr>
      <w:r>
        <w:rPr>
          <w:rFonts w:ascii="Courier New" w:cs="Courier New" w:eastAsia="Courier New" w:hAnsi="Courier New"/>
          <w:sz w:val="15"/>
          <w:szCs w:val="15"/>
          <w:color w:val="auto"/>
        </w:rPr>
        <w:t>Portions of Note to be converted</w:t>
      </w:r>
    </w:p>
    <w:p>
      <w:pPr>
        <w:spacing w:after="0" w:line="8"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($1,000 or integral multiples</w:t>
      </w:r>
    </w:p>
    <w:p>
      <w:pPr>
        <w:spacing w:after="0" w:line="8"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thereof): $____________</w:t>
      </w:r>
    </w:p>
    <w:p>
      <w:pPr>
        <w:sectPr>
          <w:pgSz w:w="11900" w:h="16838" w:orient="portrait"/>
          <w:cols w:equalWidth="0" w:num="1">
            <w:col w:w="10225"/>
          </w:cols>
          <w:pgMar w:left="235" w:top="296" w:right="1440" w:bottom="1440" w:gutter="0" w:footer="0" w:header="0"/>
          <w:type w:val="continuous"/>
        </w:sectPr>
      </w:pP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Signature</w:t>
      </w:r>
    </w:p>
    <w:p>
      <w:pPr>
        <w:spacing w:after="0" w:line="185" w:lineRule="exact"/>
        <w:rPr>
          <w:sz w:val="20"/>
          <w:szCs w:val="20"/>
          <w:color w:val="auto"/>
        </w:rPr>
      </w:pPr>
    </w:p>
    <w:p>
      <w:pPr>
        <w:ind w:left="5" w:right="3399"/>
        <w:spacing w:after="0" w:line="253" w:lineRule="auto"/>
        <w:rPr>
          <w:sz w:val="20"/>
          <w:szCs w:val="20"/>
          <w:color w:val="auto"/>
        </w:rPr>
      </w:pPr>
      <w:r>
        <w:rPr>
          <w:rFonts w:ascii="Courier New" w:cs="Courier New" w:eastAsia="Courier New" w:hAnsi="Courier New"/>
          <w:sz w:val="15"/>
          <w:szCs w:val="15"/>
          <w:color w:val="auto"/>
        </w:rPr>
        <w:t>Please print or Typewrite Name and Address, Including Zip code, and Social Security or Other Identifying Number:</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________________________________</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Signature Guarantee:*___________</w:t>
      </w:r>
    </w:p>
    <w:p>
      <w:pPr>
        <w:spacing w:after="0" w:line="200" w:lineRule="exact"/>
        <w:rPr>
          <w:sz w:val="20"/>
          <w:szCs w:val="20"/>
          <w:color w:val="auto"/>
        </w:rPr>
      </w:pPr>
    </w:p>
    <w:p>
      <w:pPr>
        <w:spacing w:after="0" w:line="340" w:lineRule="exact"/>
        <w:rPr>
          <w:sz w:val="20"/>
          <w:szCs w:val="20"/>
          <w:color w:val="auto"/>
        </w:rPr>
      </w:pPr>
    </w:p>
    <w:p>
      <w:pPr>
        <w:ind w:left="825" w:right="3219" w:hanging="825"/>
        <w:spacing w:after="0" w:line="253" w:lineRule="auto"/>
        <w:tabs>
          <w:tab w:leader="none" w:pos="825"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must be guaranteed by a commercial bank, trust company or member firm of the New York Stock Exchange</w:t>
      </w:r>
    </w:p>
    <w:p>
      <w:pPr>
        <w:spacing w:after="0" w:line="200" w:lineRule="exact"/>
        <w:rPr>
          <w:sz w:val="20"/>
          <w:szCs w:val="20"/>
          <w:color w:val="auto"/>
        </w:rPr>
      </w:pPr>
    </w:p>
    <w:p>
      <w:pPr>
        <w:spacing w:after="0" w:line="329"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A-61</w:t>
      </w:r>
    </w:p>
    <w:p>
      <w:pPr>
        <w:sectPr>
          <w:pgSz w:w="11900" w:h="16838" w:orient="portrait"/>
          <w:cols w:equalWidth="0" w:num="1">
            <w:col w:w="10225"/>
          </w:cols>
          <w:pgMar w:left="235" w:top="296" w:right="1440" w:bottom="1440" w:gutter="0" w:footer="0" w:header="0"/>
          <w:type w:val="continuous"/>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124</w:t>
      </w:r>
    </w:p>
    <w:p>
      <w:pPr>
        <w:spacing w:after="0" w:line="8" w:lineRule="exact"/>
        <w:rPr>
          <w:sz w:val="20"/>
          <w:szCs w:val="20"/>
          <w:color w:val="auto"/>
        </w:rPr>
      </w:pPr>
    </w:p>
    <w:p>
      <w:pPr>
        <w:ind w:left="6540"/>
        <w:spacing w:after="0"/>
        <w:rPr>
          <w:sz w:val="20"/>
          <w:szCs w:val="20"/>
          <w:color w:val="auto"/>
        </w:rPr>
      </w:pPr>
      <w:r>
        <w:rPr>
          <w:rFonts w:ascii="Courier New" w:cs="Courier New" w:eastAsia="Courier New" w:hAnsi="Courier New"/>
          <w:sz w:val="15"/>
          <w:szCs w:val="15"/>
          <w:color w:val="auto"/>
        </w:rPr>
        <w:t>EXHIBIT B</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FORM OF TRANSFER CERTIFICATE FOR TRANSFER FROM RULE 144A GLOBAL NOTE OR</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RESTRICTED NOTE TO REGULATION S GLOBAL NOTE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S TRANSFER CERTIFICATE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Avenue de Lafayette</w:t>
      </w:r>
    </w:p>
    <w:p>
      <w:pPr>
        <w:spacing w:after="0" w:line="8"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Boston, MA</w:t>
        <w:tab/>
        <w:t>02111-1724</w:t>
      </w:r>
    </w:p>
    <w:p>
      <w:pPr>
        <w:spacing w:after="0" w:line="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Attn:</w:t>
        <w:tab/>
        <w:t>Corporate Trust Administration</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Akamai Technologies, Inc. 5 1/2% Convertible Subordinated Notes due 2007 (the "NOTES")</w:t>
      </w:r>
    </w:p>
    <w:p>
      <w:pPr>
        <w:spacing w:after="0" w:line="174" w:lineRule="exact"/>
        <w:rPr>
          <w:sz w:val="20"/>
          <w:szCs w:val="20"/>
          <w:color w:val="auto"/>
        </w:rPr>
      </w:pPr>
    </w:p>
    <w:p>
      <w:pPr>
        <w:sectPr>
          <w:pgSz w:w="11900" w:h="16838" w:orient="portrait"/>
          <w:cols w:equalWidth="0" w:num="2">
            <w:col w:w="280" w:space="540"/>
            <w:col w:w="9399"/>
          </w:cols>
          <w:pgMar w:left="240" w:top="295" w:right="1440" w:bottom="1440" w:gutter="0" w:footer="0" w:header="0"/>
          <w:type w:val="continuous"/>
        </w:sectPr>
      </w:pPr>
    </w:p>
    <w:p>
      <w:pPr>
        <w:ind w:right="3119" w:firstLine="830"/>
        <w:spacing w:after="0" w:line="252" w:lineRule="auto"/>
        <w:rPr>
          <w:sz w:val="20"/>
          <w:szCs w:val="20"/>
          <w:color w:val="auto"/>
        </w:rPr>
      </w:pPr>
      <w:r>
        <w:rPr>
          <w:rFonts w:ascii="Courier New" w:cs="Courier New" w:eastAsia="Courier New" w:hAnsi="Courier New"/>
          <w:sz w:val="15"/>
          <w:szCs w:val="15"/>
          <w:color w:val="auto"/>
        </w:rPr>
        <w:t>Reference is hereby made to the Indenture, dated as of June 20, 2000 (the "INDENTURE"), between Akamai Technologies, Inc., as Issuer, and State Street Bank and Trust Company, as Trustee.</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This letter relates to $[___________] [check one] (i) aggregate</w:t>
      </w:r>
    </w:p>
    <w:p>
      <w:pPr>
        <w:spacing w:after="0" w:line="8" w:lineRule="exact"/>
        <w:rPr>
          <w:sz w:val="20"/>
          <w:szCs w:val="20"/>
          <w:color w:val="auto"/>
        </w:rPr>
      </w:pPr>
    </w:p>
    <w:p>
      <w:pPr>
        <w:ind w:right="3219"/>
        <w:spacing w:after="0" w:line="250" w:lineRule="auto"/>
        <w:rPr>
          <w:sz w:val="20"/>
          <w:szCs w:val="20"/>
          <w:color w:val="auto"/>
        </w:rPr>
      </w:pPr>
      <w:r>
        <w:rPr>
          <w:rFonts w:ascii="Courier New" w:cs="Courier New" w:eastAsia="Courier New" w:hAnsi="Courier New"/>
          <w:sz w:val="15"/>
          <w:szCs w:val="15"/>
          <w:color w:val="auto"/>
        </w:rPr>
        <w:t>principal amount of Notes which are held in the form of the Rule 144A Global Note (CUSIP No. ________) with the Depositary or (ii) principal amount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Note (CUSIP No. ________) registered, in either case, in the name of</w:t>
      </w:r>
    </w:p>
    <w:p>
      <w:pPr>
        <w:spacing w:after="0" w:line="8"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[name of transferor] (the "TRANSFEROR") to effect the transfer of the Notes in exchange for an equivalent beneficial interest in the Regulation S Global Notes.</w:t>
      </w:r>
    </w:p>
    <w:p>
      <w:pPr>
        <w:spacing w:after="0" w:line="174"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In connection with such request, the Transferor does hereby certify (i) that such transfer has been effected in accordance with the transfer restrictions set forth in the Notes and (ii) that:</w:t>
      </w:r>
    </w:p>
    <w:p>
      <w:pPr>
        <w:spacing w:after="0" w:line="175" w:lineRule="exact"/>
        <w:rPr>
          <w:sz w:val="20"/>
          <w:szCs w:val="20"/>
          <w:color w:val="auto"/>
        </w:rPr>
      </w:pPr>
    </w:p>
    <w:p>
      <w:pPr>
        <w:ind w:left="1660" w:right="2939" w:hanging="835"/>
        <w:spacing w:after="0" w:line="253" w:lineRule="auto"/>
        <w:tabs>
          <w:tab w:leader="none" w:pos="16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of the Notes was not made to a Person in the United States;</w:t>
      </w:r>
    </w:p>
    <w:p>
      <w:pPr>
        <w:spacing w:after="0" w:line="174" w:lineRule="exact"/>
        <w:rPr>
          <w:rFonts w:ascii="Courier New" w:cs="Courier New" w:eastAsia="Courier New" w:hAnsi="Courier New"/>
          <w:sz w:val="15"/>
          <w:szCs w:val="15"/>
          <w:color w:val="auto"/>
        </w:rPr>
      </w:pPr>
    </w:p>
    <w:p>
      <w:pPr>
        <w:ind w:left="1660" w:right="2939" w:hanging="835"/>
        <w:spacing w:after="0" w:line="251" w:lineRule="auto"/>
        <w:tabs>
          <w:tab w:leader="none" w:pos="16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was executed in, on or through the facilities of a designated offshore securities market and neither the Transferor nor any Person acting on its behalf knows that the transaction was pre-arranged with a buyer in the United States;</w:t>
      </w:r>
    </w:p>
    <w:p>
      <w:pPr>
        <w:spacing w:after="0" w:line="176" w:lineRule="exact"/>
        <w:rPr>
          <w:rFonts w:ascii="Courier New" w:cs="Courier New" w:eastAsia="Courier New" w:hAnsi="Courier New"/>
          <w:sz w:val="15"/>
          <w:szCs w:val="15"/>
          <w:color w:val="auto"/>
        </w:rPr>
      </w:pPr>
    </w:p>
    <w:p>
      <w:pPr>
        <w:ind w:left="1660" w:right="2839" w:hanging="835"/>
        <w:spacing w:after="0" w:line="252" w:lineRule="auto"/>
        <w:tabs>
          <w:tab w:leader="none" w:pos="16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directed selling efforts have been made in contravention of the requirements of Rule 903(b) or 904(b) of Regulation S, as applicable; and</w:t>
      </w:r>
    </w:p>
    <w:p>
      <w:pPr>
        <w:spacing w:after="0" w:line="174" w:lineRule="exact"/>
        <w:rPr>
          <w:rFonts w:ascii="Courier New" w:cs="Courier New" w:eastAsia="Courier New" w:hAnsi="Courier New"/>
          <w:sz w:val="15"/>
          <w:szCs w:val="15"/>
          <w:color w:val="auto"/>
        </w:rPr>
      </w:pPr>
    </w:p>
    <w:p>
      <w:pPr>
        <w:ind w:left="1660" w:right="2939" w:hanging="835"/>
        <w:spacing w:after="0" w:line="252" w:lineRule="auto"/>
        <w:tabs>
          <w:tab w:leader="none" w:pos="16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not part of a plan or scheme to evade the registration requirements of the United States Securities Act of 1933, as amended (the "SECURITIES ACT").</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 addition, if the sale is made during a distribution compliance period and the provisions of Rule 903 (c) (2) or (3) or Rule 904 (c) (1) of Regulation S are applicable thereto, we confirm that such sale has been made in accordance with the applicable provisions of Rule 903 (c) (2) or (3) or Rule 904(c)(1), as the case may be.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295" w:right="1440" w:bottom="1440" w:gutter="0" w:footer="0" w:header="0"/>
          <w:type w:val="continuous"/>
        </w:sectPr>
      </w:pPr>
    </w:p>
    <w:bookmarkStart w:id="170" w:name="page171"/>
    <w:bookmarkEnd w:id="170"/>
    <w:p>
      <w:pPr>
        <w:ind w:left="285"/>
        <w:spacing w:after="0"/>
        <w:rPr>
          <w:sz w:val="20"/>
          <w:szCs w:val="20"/>
          <w:color w:val="auto"/>
        </w:rPr>
      </w:pPr>
      <w:r>
        <w:rPr>
          <w:rFonts w:ascii="Courier New" w:cs="Courier New" w:eastAsia="Courier New" w:hAnsi="Courier New"/>
          <w:sz w:val="15"/>
          <w:szCs w:val="15"/>
          <w:color w:val="auto"/>
        </w:rPr>
        <w:t>125</w:t>
      </w:r>
    </w:p>
    <w:p>
      <w:pPr>
        <w:spacing w:after="0" w:line="8"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 Capitalized terms used in this certificate and not otherwise defined in the Indenture have the meanings set forth in Regulation S.</w:t>
      </w:r>
    </w:p>
    <w:p>
      <w:pPr>
        <w:spacing w:after="0" w:line="354"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[Name of Transferor]</w:t>
      </w:r>
    </w:p>
    <w:p>
      <w:pPr>
        <w:spacing w:after="0" w:line="185"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43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345"/>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4345"/>
        <w:spacing w:after="0"/>
        <w:rPr>
          <w:sz w:val="20"/>
          <w:szCs w:val="20"/>
          <w:color w:val="auto"/>
        </w:rPr>
      </w:pPr>
      <w:r>
        <w:rPr>
          <w:rFonts w:ascii="Courier New" w:cs="Courier New" w:eastAsia="Courier New" w:hAnsi="Courier New"/>
          <w:sz w:val="15"/>
          <w:szCs w:val="15"/>
          <w:color w:val="auto"/>
        </w:rPr>
        <w:t>Title:</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Dated:</w:t>
      </w:r>
    </w:p>
    <w:p>
      <w:pPr>
        <w:spacing w:after="0" w:line="185" w:lineRule="exact"/>
        <w:rPr>
          <w:sz w:val="20"/>
          <w:szCs w:val="20"/>
          <w:color w:val="auto"/>
        </w:rPr>
      </w:pPr>
    </w:p>
    <w:p>
      <w:pPr>
        <w:ind w:left="645" w:hanging="645"/>
        <w:spacing w:after="0"/>
        <w:tabs>
          <w:tab w:leader="none" w:pos="645"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Akamai Technologies, Inc.</w:t>
      </w:r>
    </w:p>
    <w:p>
      <w:pPr>
        <w:spacing w:after="0" w:line="7" w:lineRule="exact"/>
        <w:rPr>
          <w:rFonts w:ascii="Courier New" w:cs="Courier New" w:eastAsia="Courier New" w:hAnsi="Courier New"/>
          <w:sz w:val="15"/>
          <w:szCs w:val="15"/>
          <w:color w:val="auto"/>
        </w:rPr>
      </w:pPr>
    </w:p>
    <w:p>
      <w:pPr>
        <w:ind w:left="645" w:right="67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500 Technology Square Cambridge, Massachusetts 02139 Attention: General Counsel</w:t>
      </w:r>
    </w:p>
    <w:p>
      <w:pPr>
        <w:spacing w:after="0" w:line="35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25"/>
          </w:cols>
          <w:pgMar w:left="235" w:top="296" w:right="1440" w:bottom="1440" w:gutter="0" w:footer="0" w:header="0"/>
        </w:sectPr>
      </w:pPr>
    </w:p>
    <w:bookmarkStart w:id="171" w:name="page172"/>
    <w:bookmarkEnd w:id="171"/>
    <w:p>
      <w:pPr>
        <w:ind w:left="285"/>
        <w:spacing w:after="0"/>
        <w:rPr>
          <w:sz w:val="20"/>
          <w:szCs w:val="20"/>
          <w:color w:val="auto"/>
        </w:rPr>
      </w:pPr>
      <w:r>
        <w:rPr>
          <w:rFonts w:ascii="Courier New" w:cs="Courier New" w:eastAsia="Courier New" w:hAnsi="Courier New"/>
          <w:sz w:val="15"/>
          <w:szCs w:val="15"/>
          <w:color w:val="auto"/>
        </w:rPr>
        <w:t>126</w:t>
      </w:r>
    </w:p>
    <w:p>
      <w:pPr>
        <w:spacing w:after="0" w:line="8" w:lineRule="exact"/>
        <w:rPr>
          <w:sz w:val="20"/>
          <w:szCs w:val="20"/>
          <w:color w:val="auto"/>
        </w:rPr>
      </w:pPr>
    </w:p>
    <w:p>
      <w:pPr>
        <w:ind w:left="6545"/>
        <w:spacing w:after="0"/>
        <w:rPr>
          <w:sz w:val="20"/>
          <w:szCs w:val="20"/>
          <w:color w:val="auto"/>
        </w:rPr>
      </w:pPr>
      <w:r>
        <w:rPr>
          <w:rFonts w:ascii="Courier New" w:cs="Courier New" w:eastAsia="Courier New" w:hAnsi="Courier New"/>
          <w:sz w:val="15"/>
          <w:szCs w:val="15"/>
          <w:color w:val="auto"/>
        </w:rPr>
        <w:t>EXHIBIT C</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FORM OF TRANSFER CERTIFICATE FOR TRANSFER FROM REGULATION S GLOBAL NOTE OR</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RESTRICTED NOTE TO RULE 144A GLOBAL NOTE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RULE 144A TRANSFER CERTIFICATE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2 Avenue de Lafayette</w:t>
      </w:r>
    </w:p>
    <w:p>
      <w:pPr>
        <w:spacing w:after="0" w:line="8" w:lineRule="exact"/>
        <w:rPr>
          <w:sz w:val="20"/>
          <w:szCs w:val="20"/>
          <w:color w:val="auto"/>
        </w:rPr>
      </w:pPr>
    </w:p>
    <w:p>
      <w:pPr>
        <w:ind w:left="5"/>
        <w:spacing w:after="0"/>
        <w:tabs>
          <w:tab w:leader="none" w:pos="1085" w:val="left"/>
        </w:tabs>
        <w:rPr>
          <w:sz w:val="20"/>
          <w:szCs w:val="20"/>
          <w:color w:val="auto"/>
        </w:rPr>
      </w:pPr>
      <w:r>
        <w:rPr>
          <w:rFonts w:ascii="Courier New" w:cs="Courier New" w:eastAsia="Courier New" w:hAnsi="Courier New"/>
          <w:sz w:val="15"/>
          <w:szCs w:val="15"/>
          <w:color w:val="auto"/>
        </w:rPr>
        <w:t>Boston, MA</w:t>
        <w:tab/>
        <w:t>02111-1724</w:t>
      </w:r>
    </w:p>
    <w:p>
      <w:pPr>
        <w:spacing w:after="0" w:line="8" w:lineRule="exact"/>
        <w:rPr>
          <w:sz w:val="20"/>
          <w:szCs w:val="20"/>
          <w:color w:val="auto"/>
        </w:rPr>
      </w:pPr>
    </w:p>
    <w:p>
      <w:pPr>
        <w:ind w:left="5"/>
        <w:spacing w:after="0"/>
        <w:tabs>
          <w:tab w:leader="none" w:pos="625" w:val="left"/>
        </w:tabs>
        <w:rPr>
          <w:sz w:val="20"/>
          <w:szCs w:val="20"/>
          <w:color w:val="auto"/>
        </w:rPr>
      </w:pPr>
      <w:r>
        <w:rPr>
          <w:rFonts w:ascii="Courier New" w:cs="Courier New" w:eastAsia="Courier New" w:hAnsi="Courier New"/>
          <w:sz w:val="15"/>
          <w:szCs w:val="15"/>
          <w:color w:val="auto"/>
        </w:rPr>
        <w:t>Attn:</w:t>
        <w:tab/>
        <w:t>Corporate Trust Administration</w:t>
      </w:r>
    </w:p>
    <w:p>
      <w:pPr>
        <w:sectPr>
          <w:pgSz w:w="11900" w:h="16838" w:orient="portrait"/>
          <w:cols w:equalWidth="0" w:num="1">
            <w:col w:w="10225"/>
          </w:cols>
          <w:pgMar w:left="235" w:top="296" w:right="1440" w:bottom="1440" w:gutter="0" w:footer="0" w:header="0"/>
        </w:sectPr>
      </w:pP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Akamai Technologies, Inc. 5 1/2% Convertible Subordinated Notes due 2007 (the "NOTES")</w:t>
      </w:r>
    </w:p>
    <w:p>
      <w:pPr>
        <w:spacing w:after="0" w:line="174" w:lineRule="exact"/>
        <w:rPr>
          <w:sz w:val="20"/>
          <w:szCs w:val="20"/>
          <w:color w:val="auto"/>
        </w:rPr>
      </w:pPr>
    </w:p>
    <w:p>
      <w:pPr>
        <w:sectPr>
          <w:pgSz w:w="11900" w:h="16838" w:orient="portrait"/>
          <w:cols w:equalWidth="0" w:num="2">
            <w:col w:w="285" w:space="540"/>
            <w:col w:w="9399"/>
          </w:cols>
          <w:pgMar w:left="235" w:top="296" w:right="1440" w:bottom="1440" w:gutter="0" w:footer="0" w:header="0"/>
          <w:type w:val="continuous"/>
        </w:sect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Reference is hereby made to the Indenture, dated of June 20, 2000 (the "INDENTURE"), between Akamai Technologies, Inc., as Issuer, and State Street Bank and Trust Company, as Trustee. Capitalized terms used but not defined herein shall have the respective meanings given them in the Indenture.</w:t>
      </w:r>
    </w:p>
    <w:p>
      <w:pPr>
        <w:spacing w:after="0" w:line="176"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This letter relates to $[___________] [check one] (i) aggregate</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principal amount of Notes which are held in the form of the Regulation S Global Note (CUSIP No. ________) with the Depositary or (ii) principal amount of</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Restricted Note (CUSIP No. ________) registered, in either case, in the name of</w:t>
      </w:r>
    </w:p>
    <w:p>
      <w:pPr>
        <w:spacing w:after="0" w:line="8" w:lineRule="exact"/>
        <w:rPr>
          <w:sz w:val="20"/>
          <w:szCs w:val="20"/>
          <w:color w:val="auto"/>
        </w:rPr>
      </w:pPr>
    </w:p>
    <w:p>
      <w:pPr>
        <w:ind w:left="5" w:right="3019"/>
        <w:spacing w:after="0" w:line="253" w:lineRule="auto"/>
        <w:rPr>
          <w:sz w:val="20"/>
          <w:szCs w:val="20"/>
          <w:color w:val="auto"/>
        </w:rPr>
      </w:pPr>
      <w:r>
        <w:rPr>
          <w:rFonts w:ascii="Courier New" w:cs="Courier New" w:eastAsia="Courier New" w:hAnsi="Courier New"/>
          <w:sz w:val="15"/>
          <w:szCs w:val="15"/>
          <w:color w:val="auto"/>
        </w:rPr>
        <w:t>[name of transferor] (the "TRANSFEROR") to effect the transfer of the Notes in exchange for an equivalent beneficial interest in the Rule 144A Global Note.</w:t>
      </w:r>
    </w:p>
    <w:p>
      <w:pPr>
        <w:spacing w:after="0" w:line="174"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In connection with such request, and in respect of such Notes the Transferor does hereby certify that such Notes are being transferred in accordance with (i) the transfer restrictions set forth in the Notes and (ii) Rule 144A under the United States Securities Act of 1933, as amended, to a transferee that the Transferor reasonably believes is purchasing the Notes for its own account or an account with respect to which the transferee exercises sole investment discretion and the transferee and any such account is a "qualified institutional buyer" within the meaning of Rule 144A, in a transaction meeting the requirements of Rule 144A and in accordance with applicable securities laws of any state of the United States or any other jurisdiction.</w:t>
      </w:r>
    </w:p>
    <w:p>
      <w:pPr>
        <w:spacing w:after="0" w:line="182" w:lineRule="exact"/>
        <w:rPr>
          <w:sz w:val="20"/>
          <w:szCs w:val="20"/>
          <w:color w:val="auto"/>
        </w:rPr>
      </w:pPr>
    </w:p>
    <w:p>
      <w:pPr>
        <w:ind w:left="4425"/>
        <w:spacing w:after="0"/>
        <w:rPr>
          <w:sz w:val="20"/>
          <w:szCs w:val="20"/>
          <w:color w:val="auto"/>
        </w:rPr>
      </w:pPr>
      <w:r>
        <w:rPr>
          <w:rFonts w:ascii="Courier New" w:cs="Courier New" w:eastAsia="Courier New" w:hAnsi="Courier New"/>
          <w:sz w:val="15"/>
          <w:szCs w:val="15"/>
          <w:color w:val="auto"/>
        </w:rPr>
        <w:t>[Name of Transferor],</w:t>
      </w:r>
    </w:p>
    <w:p>
      <w:pPr>
        <w:spacing w:after="0" w:line="185" w:lineRule="exact"/>
        <w:rPr>
          <w:sz w:val="20"/>
          <w:szCs w:val="20"/>
          <w:color w:val="auto"/>
        </w:rPr>
      </w:pPr>
    </w:p>
    <w:p>
      <w:pPr>
        <w:ind w:left="4425"/>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47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705"/>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jc w:val="center"/>
        <w:ind w:right="254"/>
        <w:spacing w:after="0"/>
        <w:rPr>
          <w:sz w:val="20"/>
          <w:szCs w:val="20"/>
          <w:color w:val="auto"/>
        </w:rPr>
      </w:pPr>
      <w:r>
        <w:rPr>
          <w:rFonts w:ascii="Courier New" w:cs="Courier New" w:eastAsia="Courier New" w:hAnsi="Courier New"/>
          <w:sz w:val="15"/>
          <w:szCs w:val="15"/>
          <w:color w:val="auto"/>
        </w:rPr>
        <w:t>Title: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Dated:</w:t>
      </w:r>
    </w:p>
    <w:p>
      <w:pPr>
        <w:spacing w:after="0" w:line="185" w:lineRule="exact"/>
        <w:rPr>
          <w:sz w:val="20"/>
          <w:szCs w:val="20"/>
          <w:color w:val="auto"/>
        </w:rPr>
      </w:pPr>
    </w:p>
    <w:p>
      <w:pPr>
        <w:ind w:left="645" w:hanging="645"/>
        <w:spacing w:after="0"/>
        <w:tabs>
          <w:tab w:leader="none" w:pos="645"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Akamai Technologies, Inc.</w:t>
      </w:r>
    </w:p>
    <w:p>
      <w:pPr>
        <w:spacing w:after="0" w:line="7" w:lineRule="exact"/>
        <w:rPr>
          <w:rFonts w:ascii="Courier New" w:cs="Courier New" w:eastAsia="Courier New" w:hAnsi="Courier New"/>
          <w:sz w:val="15"/>
          <w:szCs w:val="15"/>
          <w:color w:val="auto"/>
        </w:rPr>
      </w:pPr>
    </w:p>
    <w:p>
      <w:pPr>
        <w:ind w:left="645" w:right="67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500 Technology Square Cambridge, Massachusetts 02139 Attention: General Counsel</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25"/>
          </w:cols>
          <w:pgMar w:left="235" w:top="296" w:right="1440" w:bottom="1440" w:gutter="0" w:footer="0" w:header="0"/>
          <w:type w:val="continuous"/>
        </w:sectPr>
      </w:pPr>
    </w:p>
    <w:bookmarkStart w:id="172" w:name="page173"/>
    <w:bookmarkEnd w:id="172"/>
    <w:p>
      <w:pPr>
        <w:ind w:left="285"/>
        <w:spacing w:after="0"/>
        <w:rPr>
          <w:sz w:val="20"/>
          <w:szCs w:val="20"/>
          <w:color w:val="auto"/>
        </w:rPr>
      </w:pPr>
      <w:r>
        <w:rPr>
          <w:rFonts w:ascii="Courier New" w:cs="Courier New" w:eastAsia="Courier New" w:hAnsi="Courier New"/>
          <w:sz w:val="15"/>
          <w:szCs w:val="15"/>
          <w:color w:val="auto"/>
        </w:rPr>
        <w:t>127</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D</w:t>
      </w:r>
    </w:p>
    <w:p>
      <w:pPr>
        <w:spacing w:after="0" w:line="185"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FORM OF TRANSFER CERTIFICATE FOR TRANSFER FROM GLOBAL NOTE OR</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RESTRICTED NOTE TO RESTRICTED NOTE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RESTRICTED NOTE TRANSFER CERTIFICATE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2 Avenue de Lafayette</w:t>
      </w:r>
    </w:p>
    <w:p>
      <w:pPr>
        <w:spacing w:after="0" w:line="8" w:lineRule="exact"/>
        <w:rPr>
          <w:sz w:val="20"/>
          <w:szCs w:val="20"/>
          <w:color w:val="auto"/>
        </w:rPr>
      </w:pPr>
    </w:p>
    <w:p>
      <w:pPr>
        <w:ind w:left="5"/>
        <w:spacing w:after="0"/>
        <w:tabs>
          <w:tab w:leader="none" w:pos="1085" w:val="left"/>
        </w:tabs>
        <w:rPr>
          <w:sz w:val="20"/>
          <w:szCs w:val="20"/>
          <w:color w:val="auto"/>
        </w:rPr>
      </w:pPr>
      <w:r>
        <w:rPr>
          <w:rFonts w:ascii="Courier New" w:cs="Courier New" w:eastAsia="Courier New" w:hAnsi="Courier New"/>
          <w:sz w:val="15"/>
          <w:szCs w:val="15"/>
          <w:color w:val="auto"/>
        </w:rPr>
        <w:t>Boston, MA</w:t>
        <w:tab/>
        <w:t>02111-1724</w:t>
      </w:r>
    </w:p>
    <w:p>
      <w:pPr>
        <w:spacing w:after="0" w:line="8" w:lineRule="exact"/>
        <w:rPr>
          <w:sz w:val="20"/>
          <w:szCs w:val="20"/>
          <w:color w:val="auto"/>
        </w:rPr>
      </w:pPr>
    </w:p>
    <w:p>
      <w:pPr>
        <w:ind w:left="5"/>
        <w:spacing w:after="0"/>
        <w:tabs>
          <w:tab w:leader="none" w:pos="625" w:val="left"/>
        </w:tabs>
        <w:rPr>
          <w:sz w:val="20"/>
          <w:szCs w:val="20"/>
          <w:color w:val="auto"/>
        </w:rPr>
      </w:pPr>
      <w:r>
        <w:rPr>
          <w:rFonts w:ascii="Courier New" w:cs="Courier New" w:eastAsia="Courier New" w:hAnsi="Courier New"/>
          <w:sz w:val="15"/>
          <w:szCs w:val="15"/>
          <w:color w:val="auto"/>
        </w:rPr>
        <w:t>Attn:</w:t>
        <w:tab/>
        <w:t>Corporate Trust Administration</w:t>
      </w:r>
    </w:p>
    <w:p>
      <w:pPr>
        <w:sectPr>
          <w:pgSz w:w="11900" w:h="16838" w:orient="portrait"/>
          <w:cols w:equalWidth="0" w:num="1">
            <w:col w:w="10225"/>
          </w:cols>
          <w:pgMar w:left="235" w:top="296" w:right="1440" w:bottom="1440" w:gutter="0" w:footer="0" w:header="0"/>
        </w:sectPr>
      </w:pP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Akamai Technologies, Inc. 5 1/2% Convertible Subordinated Notes due 2007 (the "NOTES")</w:t>
      </w:r>
    </w:p>
    <w:p>
      <w:pPr>
        <w:spacing w:after="0" w:line="174" w:lineRule="exact"/>
        <w:rPr>
          <w:sz w:val="20"/>
          <w:szCs w:val="20"/>
          <w:color w:val="auto"/>
        </w:rPr>
      </w:pPr>
    </w:p>
    <w:p>
      <w:pPr>
        <w:sectPr>
          <w:pgSz w:w="11900" w:h="16838" w:orient="portrait"/>
          <w:cols w:equalWidth="0" w:num="2">
            <w:col w:w="285" w:space="540"/>
            <w:col w:w="9399"/>
          </w:cols>
          <w:pgMar w:left="235" w:top="296" w:right="1440" w:bottom="1440" w:gutter="0" w:footer="0" w:header="0"/>
          <w:type w:val="continuous"/>
        </w:sectPr>
      </w:pPr>
    </w:p>
    <w:p>
      <w:pPr>
        <w:ind w:left="5" w:right="3019" w:firstLine="830"/>
        <w:spacing w:after="0" w:line="251" w:lineRule="auto"/>
        <w:rPr>
          <w:sz w:val="20"/>
          <w:szCs w:val="20"/>
          <w:color w:val="auto"/>
        </w:rPr>
      </w:pPr>
      <w:r>
        <w:rPr>
          <w:rFonts w:ascii="Courier New" w:cs="Courier New" w:eastAsia="Courier New" w:hAnsi="Courier New"/>
          <w:sz w:val="15"/>
          <w:szCs w:val="15"/>
          <w:color w:val="auto"/>
        </w:rPr>
        <w:t>Reference is hereby made to the Indenture, dated as of June 20, 2000 (the "INDENTURE"), between Akamai Technologies, Inc., as Issuer, and State Street Bank and Trust Company, as Trustee. Capitalized terms used but not defined herein shall have the respective meanings given them in the Indenture.</w:t>
      </w:r>
    </w:p>
    <w:p>
      <w:pPr>
        <w:spacing w:after="0" w:line="176"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This letter relates to $[___________] aggregate principal amount of</w:t>
      </w:r>
    </w:p>
    <w:p>
      <w:pPr>
        <w:spacing w:after="0" w:line="8" w:lineRule="exact"/>
        <w:rPr>
          <w:sz w:val="20"/>
          <w:szCs w:val="20"/>
          <w:color w:val="auto"/>
        </w:rPr>
      </w:pPr>
    </w:p>
    <w:p>
      <w:pPr>
        <w:ind w:left="5" w:right="3399"/>
        <w:spacing w:after="0" w:line="250" w:lineRule="auto"/>
        <w:rPr>
          <w:sz w:val="20"/>
          <w:szCs w:val="20"/>
          <w:color w:val="auto"/>
        </w:rPr>
      </w:pPr>
      <w:r>
        <w:rPr>
          <w:rFonts w:ascii="Courier New" w:cs="Courier New" w:eastAsia="Courier New" w:hAnsi="Courier New"/>
          <w:sz w:val="15"/>
          <w:szCs w:val="15"/>
          <w:color w:val="auto"/>
        </w:rPr>
        <w:t>Notes which are [held in the form of the [Rule 144A/Regulation S] [Global] [Restricted] Note (CUSIP No. [________] CINS No. [__________]) [with the</w:t>
      </w:r>
    </w:p>
    <w:p>
      <w:pPr>
        <w:spacing w:after="0" w:line="1" w:lineRule="exact"/>
        <w:rPr>
          <w:sz w:val="20"/>
          <w:szCs w:val="20"/>
          <w:color w:val="auto"/>
        </w:rPr>
      </w:pPr>
    </w:p>
    <w:p>
      <w:pPr>
        <w:ind w:left="5" w:right="2839"/>
        <w:spacing w:after="0" w:line="253" w:lineRule="auto"/>
        <w:rPr>
          <w:sz w:val="20"/>
          <w:szCs w:val="20"/>
          <w:color w:val="auto"/>
        </w:rPr>
      </w:pPr>
      <w:r>
        <w:rPr>
          <w:rFonts w:ascii="Courier New" w:cs="Courier New" w:eastAsia="Courier New" w:hAnsi="Courier New"/>
          <w:sz w:val="15"/>
          <w:szCs w:val="15"/>
          <w:color w:val="auto"/>
        </w:rPr>
        <w:t>Depositary] in the name of [name of transferor] (the "TRANSFEROR") to effect the transfer of the Notes.</w:t>
      </w:r>
    </w:p>
    <w:p>
      <w:pPr>
        <w:spacing w:after="0" w:line="174"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In connection with such request, and in respect of such Notes, the Transferor does hereby certify that such Notes are being transferred (i) in accordance with the transfer restrictions set forth in the Notes and (ii) in accordance with applicable securities laws of any state of the United States or any other jurisdiction.</w:t>
      </w:r>
    </w:p>
    <w:p>
      <w:pPr>
        <w:spacing w:after="0" w:line="354" w:lineRule="exact"/>
        <w:rPr>
          <w:sz w:val="20"/>
          <w:szCs w:val="20"/>
          <w:color w:val="auto"/>
        </w:rPr>
      </w:pPr>
    </w:p>
    <w:p>
      <w:pPr>
        <w:ind w:left="4345"/>
        <w:spacing w:after="0"/>
        <w:rPr>
          <w:sz w:val="20"/>
          <w:szCs w:val="20"/>
          <w:color w:val="auto"/>
        </w:rPr>
      </w:pPr>
      <w:r>
        <w:rPr>
          <w:rFonts w:ascii="Courier New" w:cs="Courier New" w:eastAsia="Courier New" w:hAnsi="Courier New"/>
          <w:sz w:val="15"/>
          <w:szCs w:val="15"/>
          <w:color w:val="auto"/>
        </w:rPr>
        <w:t>[Name of Transferor],</w:t>
      </w:r>
    </w:p>
    <w:p>
      <w:pPr>
        <w:spacing w:after="0" w:line="185" w:lineRule="exact"/>
        <w:rPr>
          <w:sz w:val="20"/>
          <w:szCs w:val="20"/>
          <w:color w:val="auto"/>
        </w:rPr>
      </w:pPr>
    </w:p>
    <w:p>
      <w:pPr>
        <w:ind w:left="4345"/>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46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5"/>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jc w:val="center"/>
        <w:ind w:right="434"/>
        <w:spacing w:after="0"/>
        <w:rPr>
          <w:sz w:val="20"/>
          <w:szCs w:val="20"/>
          <w:color w:val="auto"/>
        </w:rPr>
      </w:pPr>
      <w:r>
        <w:rPr>
          <w:rFonts w:ascii="Courier New" w:cs="Courier New" w:eastAsia="Courier New" w:hAnsi="Courier New"/>
          <w:sz w:val="15"/>
          <w:szCs w:val="15"/>
          <w:color w:val="auto"/>
        </w:rPr>
        <w:t>Title:</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Dated:</w:t>
      </w:r>
    </w:p>
    <w:p>
      <w:pPr>
        <w:spacing w:after="0" w:line="185" w:lineRule="exact"/>
        <w:rPr>
          <w:sz w:val="20"/>
          <w:szCs w:val="20"/>
          <w:color w:val="auto"/>
        </w:rPr>
      </w:pPr>
    </w:p>
    <w:p>
      <w:pPr>
        <w:ind w:left="645" w:hanging="645"/>
        <w:spacing w:after="0"/>
        <w:tabs>
          <w:tab w:leader="none" w:pos="645"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Akamai Technologies, Inc.</w:t>
      </w:r>
    </w:p>
    <w:p>
      <w:pPr>
        <w:spacing w:after="0" w:line="7" w:lineRule="exact"/>
        <w:rPr>
          <w:rFonts w:ascii="Courier New" w:cs="Courier New" w:eastAsia="Courier New" w:hAnsi="Courier New"/>
          <w:sz w:val="15"/>
          <w:szCs w:val="15"/>
          <w:color w:val="auto"/>
        </w:rPr>
      </w:pPr>
    </w:p>
    <w:p>
      <w:pPr>
        <w:ind w:left="645" w:right="67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500 Technology Square Cambridge, Massachusetts 02139 Attention: General Counsel</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25"/>
          </w:cols>
          <w:pgMar w:left="235" w:top="296" w:right="1440" w:bottom="1440" w:gutter="0" w:footer="0" w:header="0"/>
          <w:type w:val="continuous"/>
        </w:sectPr>
      </w:pPr>
    </w:p>
    <w:bookmarkStart w:id="173" w:name="page174"/>
    <w:bookmarkEnd w:id="173"/>
    <w:p>
      <w:pPr>
        <w:ind w:left="280"/>
        <w:spacing w:after="0"/>
        <w:rPr>
          <w:sz w:val="20"/>
          <w:szCs w:val="20"/>
          <w:color w:val="auto"/>
        </w:rPr>
      </w:pPr>
      <w:r>
        <w:rPr>
          <w:rFonts w:ascii="Courier New" w:cs="Courier New" w:eastAsia="Courier New" w:hAnsi="Courier New"/>
          <w:sz w:val="15"/>
          <w:szCs w:val="15"/>
          <w:color w:val="auto"/>
        </w:rPr>
        <w:t>128</w:t>
      </w:r>
    </w:p>
    <w:p>
      <w:pPr>
        <w:spacing w:after="0" w:line="8" w:lineRule="exact"/>
        <w:rPr>
          <w:sz w:val="20"/>
          <w:szCs w:val="20"/>
          <w:color w:val="auto"/>
        </w:rPr>
      </w:pPr>
    </w:p>
    <w:p>
      <w:pPr>
        <w:ind w:left="6540"/>
        <w:spacing w:after="0"/>
        <w:rPr>
          <w:sz w:val="20"/>
          <w:szCs w:val="20"/>
          <w:color w:val="auto"/>
        </w:rPr>
      </w:pPr>
      <w:r>
        <w:rPr>
          <w:rFonts w:ascii="Courier New" w:cs="Courier New" w:eastAsia="Courier New" w:hAnsi="Courier New"/>
          <w:sz w:val="15"/>
          <w:szCs w:val="15"/>
          <w:color w:val="auto"/>
        </w:rPr>
        <w:t>EXHIBIT E</w:t>
      </w:r>
    </w:p>
    <w:p>
      <w:pPr>
        <w:spacing w:after="0" w:line="18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FORM OF LETTER TO BE DELIVERED BY INSTITUTIONAL ACCREDITED INVESTORS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ACCREDITED INVESTOR LETTER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Akamai Technologies,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 Technology Square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Cambridge, Massachusetts 02139</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We are delivering this letter in connection with our acquisition of 5 1/2% Convertible Subordinated Notes due 2007 (the "Notes") of Akamai Technologies, Inc., a Delaware corporation (the "Company"), as more fully described in the Offering Memorandum (the "Offering Memorandum") relating to the initial offering of the Notes.</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We hereby confirm that:</w:t>
      </w:r>
    </w:p>
    <w:p>
      <w:pPr>
        <w:spacing w:after="0" w:line="185" w:lineRule="exact"/>
        <w:rPr>
          <w:sz w:val="20"/>
          <w:szCs w:val="20"/>
          <w:color w:val="auto"/>
        </w:rPr>
      </w:pPr>
    </w:p>
    <w:p>
      <w:pPr>
        <w:ind w:left="1200" w:hanging="375"/>
        <w:spacing w:after="0"/>
        <w:tabs>
          <w:tab w:leader="none" w:pos="120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an "accredited investor" within the meaning of Rule 501(a)</w:t>
      </w:r>
    </w:p>
    <w:p>
      <w:pPr>
        <w:spacing w:after="0" w:line="7" w:lineRule="exact"/>
        <w:rPr>
          <w:rFonts w:ascii="Courier New" w:cs="Courier New" w:eastAsia="Courier New" w:hAnsi="Courier New"/>
          <w:sz w:val="15"/>
          <w:szCs w:val="15"/>
          <w:color w:val="auto"/>
        </w:rPr>
      </w:pPr>
    </w:p>
    <w:p>
      <w:pPr>
        <w:ind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(2), (3) or (7) under the Securities Act of 1933, as amended (the "Securities Act"), or an entity in which all of the equity owners are accredited investors within the meaning of Rule 501(a) (1), (2), (3) or (7) under the Securities Act (an "Institutional Accredited Investor");</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292"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any purchase of the Notes by us will be for our own account or for the account of one or more other Institutional Accredited Investors or as fiduciary for the account of one or more trusts, each of which is an "accredited investor" within the meaning of Rule 501(a)(7) under the Securities Act and for each of which we exercise sole investment discretion or (B) we are a "bank," within the meaning of Section 3 (a) (2) of the Securities Act, or a "savings and loan association" or other institution described in Section 3(a)(5)(A) of the Securities Act that is acquiring the Notes as fiduciary for the account of one or more institutions for which we exercise sole investment discretion;</w:t>
      </w:r>
    </w:p>
    <w:p>
      <w:pPr>
        <w:spacing w:after="0" w:line="175" w:lineRule="exact"/>
        <w:rPr>
          <w:rFonts w:ascii="Courier New" w:cs="Courier New" w:eastAsia="Courier New" w:hAnsi="Courier New"/>
          <w:sz w:val="15"/>
          <w:szCs w:val="15"/>
          <w:color w:val="auto"/>
        </w:rPr>
      </w:pPr>
    </w:p>
    <w:p>
      <w:pPr>
        <w:ind w:right="3019" w:firstLine="825"/>
        <w:spacing w:after="0" w:line="252" w:lineRule="auto"/>
        <w:tabs>
          <w:tab w:leader="none" w:pos="138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we purchase any of the Notes, we will acquire Notes having a minimum purchase price of not less than $100,000 for our own account or for any separate account for which we are acting;</w:t>
      </w:r>
    </w:p>
    <w:p>
      <w:pPr>
        <w:spacing w:after="0" w:line="174" w:lineRule="exact"/>
        <w:rPr>
          <w:rFonts w:ascii="Courier New" w:cs="Courier New" w:eastAsia="Courier New" w:hAnsi="Courier New"/>
          <w:sz w:val="15"/>
          <w:szCs w:val="15"/>
          <w:color w:val="auto"/>
        </w:rPr>
      </w:pPr>
    </w:p>
    <w:p>
      <w:pPr>
        <w:ind w:right="2839" w:firstLine="825"/>
        <w:spacing w:after="0" w:line="252" w:lineRule="auto"/>
        <w:tabs>
          <w:tab w:leader="none" w:pos="1292"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such knowledge and experience in financial and business matters that we are capable of evaluating the merits and risks of purchasing the Notes;</w:t>
      </w:r>
    </w:p>
    <w:p>
      <w:pPr>
        <w:spacing w:after="0" w:line="174" w:lineRule="exact"/>
        <w:rPr>
          <w:rFonts w:ascii="Courier New" w:cs="Courier New" w:eastAsia="Courier New" w:hAnsi="Courier New"/>
          <w:sz w:val="15"/>
          <w:szCs w:val="15"/>
          <w:color w:val="auto"/>
        </w:rPr>
      </w:pPr>
    </w:p>
    <w:p>
      <w:pPr>
        <w:ind w:right="2939" w:firstLine="825"/>
        <w:spacing w:after="0" w:line="252" w:lineRule="auto"/>
        <w:tabs>
          <w:tab w:leader="none" w:pos="120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not acquiring the Notes with a view to distribution thereof or with any present intention of offering or selling any of the Notes, except inside the United States in accordance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19"/>
          </w:cols>
          <w:pgMar w:left="240" w:top="296"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129</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with Rule 144A under the Securities Act or outside the United States in accordance with Regulation S under the Securities Act, as provided below, provided that the disposition of our property and the property of any accounts for which we are acting as fiduciary shall remain at all times within our control; and</w:t>
      </w:r>
    </w:p>
    <w:p>
      <w:pPr>
        <w:spacing w:after="0" w:line="176" w:lineRule="exact"/>
        <w:rPr>
          <w:sz w:val="20"/>
          <w:szCs w:val="20"/>
          <w:color w:val="auto"/>
        </w:rPr>
      </w:pPr>
    </w:p>
    <w:p>
      <w:pPr>
        <w:ind w:right="2839" w:firstLine="825"/>
        <w:spacing w:after="0" w:line="251" w:lineRule="auto"/>
        <w:tabs>
          <w:tab w:leader="none" w:pos="1292"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received a copy of the Offering Memorandum relating to the offering of the Notes and acknowledge that we have had access to such financial and other information, and have been afforded the opportunity to ask such questions of representatives of the Company and receive answers thereto, as we deem necessary in connection with our decision to acquire the Notes.</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We understand that the Notes are being offered in a transaction not involving any public offering within the United States within the meaning of the Securities Act and that the Notes have not been registered under the Securities Act, and we agree, on our own behalf and on behalf of each account for which we acquire any Notes, that if in the future we decide to resell, pledge or otherwise transfer such Notes, such Notes may be offered, resold, pledged or otherwise transferred only: (a) to the Company or any of its subsidiaries, (b) to a person whom the seller reasonably believes is a Qualified Institutional Buyer or "QIB" (as defined in Rule 144A under the Securities Act) purchasing for its own account or for the account of a QIB in a transaction meeting the requirements of Rule 144A, (c) in an offshore transaction meeting the requirements of Rule 904 of the Securities Act, (d) in a transaction meeting the requirements of Rule 144 under the Securities Act, (e) to an Institutional Accredited Investor that, prior to such transfer, furnishes the trustee a signed letter containing certain representations and agreements relating to the transfer of the Notes (in substantially this form) and, if such transfer is in respect of an aggregate principal amount of Notes less than $100,000, an opinion of counsel acceptable to the Company that such transfer is in compliance with the Securities Act, (f) in accordance with another exemption from the registration requirements of the Securities Act (and based upon an opinion of counsel acceptable to the Company) or (g) pursuant to an effective registration statement and, in each case, in accordance with the applicable securities laws of any state of the United States, or any other applicable jurisdiction. We understand that the registrar and transfer agent for the Notes will not be required to accept for registration of transfer any Notes acquired by us, except upon presentation of evidence satisfactory to the Company and the transfer agent that the foregoing restrictions on transfer have been complied with. We further understand that any Notes acquired by us will be in the form of definitive physical certificates and will bear a legend reflecting the substance of this paragraph.</w:t>
      </w:r>
    </w:p>
    <w:p>
      <w:pPr>
        <w:spacing w:after="0" w:line="368"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We acknowledge that the Company and others will rely upon our confirmations, acknowledgments and agreements set forth herein, and we agree to notify you promptly in writing if any of our representatives or warranties herein ceases to be accurate and complete.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19"/>
          </w:cols>
          <w:pgMar w:left="240" w:top="295"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130</w:t>
      </w:r>
    </w:p>
    <w:p>
      <w:pPr>
        <w:spacing w:after="0" w:line="8" w:lineRule="exact"/>
        <w:rPr>
          <w:sz w:val="20"/>
          <w:szCs w:val="20"/>
          <w:color w:val="auto"/>
        </w:rPr>
      </w:pPr>
    </w:p>
    <w:p>
      <w:pPr>
        <w:ind w:right="2839" w:firstLine="830"/>
        <w:spacing w:after="0" w:line="256" w:lineRule="auto"/>
        <w:rPr>
          <w:sz w:val="20"/>
          <w:szCs w:val="20"/>
          <w:color w:val="auto"/>
        </w:rPr>
      </w:pPr>
      <w:r>
        <w:rPr>
          <w:rFonts w:ascii="Courier New" w:cs="Courier New" w:eastAsia="Courier New" w:hAnsi="Courier New"/>
          <w:sz w:val="15"/>
          <w:szCs w:val="15"/>
          <w:color w:val="auto"/>
        </w:rPr>
        <w:t>THIS LETTER SHALL BE GOVERNED BY, AND CONSTRUED IN ACCORDANCE WITH, THE LAWS OF THE STATE OF NEW YORK, WITHOUT REGARD TO PRINCIPLES OF CONFLICTS OF LAWS.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8" w:lineRule="exact"/>
        <w:rPr>
          <w:sz w:val="20"/>
          <w:szCs w:val="20"/>
          <w:color w:val="auto"/>
        </w:rPr>
      </w:pPr>
    </w:p>
    <w:p>
      <w:pPr>
        <w:ind w:left="540"/>
        <w:spacing w:after="0"/>
        <w:tabs>
          <w:tab w:leader="none" w:pos="40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(Name of Purchaser)</w:t>
      </w:r>
    </w:p>
    <w:p>
      <w:pPr>
        <w:spacing w:after="0" w:line="200" w:lineRule="exact"/>
        <w:rPr>
          <w:sz w:val="20"/>
          <w:szCs w:val="20"/>
          <w:color w:val="auto"/>
        </w:rPr>
      </w:pPr>
    </w:p>
    <w:p>
      <w:pPr>
        <w:spacing w:after="0" w:line="340"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060"/>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Address:</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E-3</w:t>
      </w:r>
    </w:p>
    <w:p>
      <w:pPr>
        <w:sectPr>
          <w:pgSz w:w="11900" w:h="16838" w:orient="portrait"/>
          <w:cols w:equalWidth="0" w:num="1">
            <w:col w:w="10219"/>
          </w:cols>
          <w:pgMar w:left="240" w:top="295"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 99.5</w:t>
      </w:r>
    </w:p>
    <w:p>
      <w:pPr>
        <w:spacing w:after="0" w:line="18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5-1/2% CONVERTIBLE SUBORDINATED NOTES DUE 2007</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Dated as of June 20, 2000</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by and among</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Akamai Technologies, Inc.</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and</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Donaldson, Lufkin &amp; Jenrette Securities Corporation</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Salomon Smith Barney Inc.</w:t>
      </w:r>
    </w:p>
    <w:p>
      <w:pPr>
        <w:spacing w:after="0" w:line="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Thomas Weisel Partners LLC</w:t>
      </w:r>
    </w:p>
    <w:p>
      <w:pPr>
        <w:sectPr>
          <w:pgSz w:w="11900" w:h="16838" w:orient="portrait"/>
          <w:cols w:equalWidth="0" w:num="1">
            <w:col w:w="9939"/>
          </w:cols>
          <w:pgMar w:left="520" w:top="142"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5"/>
          <w:szCs w:val="15"/>
          <w:color w:val="auto"/>
        </w:rPr>
        <w:t>2</w:t>
      </w:r>
    </w:p>
    <w:p>
      <w:pPr>
        <w:spacing w:after="0" w:line="8" w:lineRule="exact"/>
        <w:rPr>
          <w:sz w:val="20"/>
          <w:szCs w:val="20"/>
          <w:color w:val="auto"/>
        </w:rPr>
      </w:pPr>
    </w:p>
    <w:p>
      <w:pPr>
        <w:ind w:right="2839" w:firstLine="1015"/>
        <w:spacing w:after="0" w:line="251" w:lineRule="auto"/>
        <w:rPr>
          <w:sz w:val="20"/>
          <w:szCs w:val="20"/>
          <w:color w:val="auto"/>
        </w:rPr>
      </w:pPr>
      <w:r>
        <w:rPr>
          <w:rFonts w:ascii="Courier New" w:cs="Courier New" w:eastAsia="Courier New" w:hAnsi="Courier New"/>
          <w:sz w:val="15"/>
          <w:szCs w:val="15"/>
          <w:color w:val="auto"/>
        </w:rPr>
        <w:t>This Registration Rights Agreement (this "AGREEMENT") is made and entered into as of June 20, 2000, by and among Akamai Technologies, Inc., a Delaware corporation (the "COMPANY"), and Donaldson, Lufkin &amp; Jenrette Securities Corporation, Morgan Stanley &amp; Co. Incorporated, Salomon Smith Barney Inc. and Thomas Weisel Partners, LLC (each an "INITIAL PURCHASER" and, collectively, the "INITIAL PURCHASERS"), each of whom has agreed to purchase the Company's 5-1/2% Convertible Subordinated Notes due 2007 (the "NOTES") pursuant to the Purchase Agreement (as defined below).</w:t>
      </w:r>
    </w:p>
    <w:p>
      <w:pPr>
        <w:spacing w:after="0" w:line="353" w:lineRule="exact"/>
        <w:rPr>
          <w:sz w:val="20"/>
          <w:szCs w:val="20"/>
          <w:color w:val="auto"/>
        </w:rPr>
      </w:pPr>
    </w:p>
    <w:p>
      <w:pPr>
        <w:ind w:right="2839" w:firstLine="1015"/>
        <w:spacing w:after="0" w:line="250" w:lineRule="auto"/>
        <w:rPr>
          <w:sz w:val="20"/>
          <w:szCs w:val="20"/>
          <w:color w:val="auto"/>
        </w:rPr>
      </w:pPr>
      <w:r>
        <w:rPr>
          <w:rFonts w:ascii="Courier New" w:cs="Courier New" w:eastAsia="Courier New" w:hAnsi="Courier New"/>
          <w:sz w:val="15"/>
          <w:szCs w:val="15"/>
          <w:color w:val="auto"/>
        </w:rPr>
        <w:t>This Agreement is made pursuant to the Purchase Agreement, dated June 15, 2000, (the "PURCHASE AGREEMENT"), by and among the Company and the Initial Purchasers. In order to induce the Initial Purchasers to purchase the Notes, the Company has agreed to provide the registration rights set forth in this Agreement. The execution and delivery of this Agreement is a condition to the obligations of the Initial Purchasers set forth in Section 2 of the Purchase Agreement. Capitalized terms used herein and not otherwise defined shall have the meaning assigned to them in the Indenture, dated June 20, 2000, between the Company and State Street Bank and Trust Company, as Trustee, relating to the Notes (the "INDENTURE").</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The parties hereby agree as follows:</w:t>
      </w:r>
    </w:p>
    <w:p>
      <w:pPr>
        <w:spacing w:after="0" w:line="36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5"/>
          <w:szCs w:val="15"/>
          <w:color w:val="auto"/>
        </w:rPr>
        <w:t>DEFINITIONS</w:t>
      </w:r>
    </w:p>
    <w:p>
      <w:pPr>
        <w:spacing w:after="0" w:line="185" w:lineRule="exact"/>
        <w:rPr>
          <w:sz w:val="20"/>
          <w:szCs w:val="20"/>
          <w:color w:val="auto"/>
        </w:rPr>
      </w:pPr>
    </w:p>
    <w:p>
      <w:pPr>
        <w:ind w:right="2839" w:firstLine="1015"/>
        <w:spacing w:after="0" w:line="253" w:lineRule="auto"/>
        <w:rPr>
          <w:sz w:val="20"/>
          <w:szCs w:val="20"/>
          <w:color w:val="auto"/>
        </w:rPr>
      </w:pPr>
      <w:r>
        <w:rPr>
          <w:rFonts w:ascii="Courier New" w:cs="Courier New" w:eastAsia="Courier New" w:hAnsi="Courier New"/>
          <w:sz w:val="15"/>
          <w:szCs w:val="15"/>
          <w:color w:val="auto"/>
        </w:rPr>
        <w:t>As used in this Agreement, the following capitalized terms shall have the following meanings:</w:t>
      </w:r>
    </w:p>
    <w:p>
      <w:pPr>
        <w:sectPr>
          <w:pgSz w:w="11900" w:h="16838" w:orient="portrait"/>
          <w:cols w:equalWidth="0" w:num="1">
            <w:col w:w="10219"/>
          </w:cols>
          <w:pgMar w:left="240" w:top="296" w:right="1440" w:bottom="1440" w:gutter="0" w:footer="0" w:header="0"/>
        </w:sectPr>
      </w:pP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Securities Act of 1933,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AFFILIATE: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As defined in Rule 144 of the Act.</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CERTIFICATED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Definitive Notes, as defined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CLOSING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date hereof.</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Common Stock, $.01 par value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of the Company.</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COMMISSION: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Securities and Exchange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EFFECTIVENESS DEADLINE: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As defined in Section 3(a) hereof.</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amended.</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FILING DEADLINE: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As defined in Section 3(a) hereof.</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As defined in Section 2 hereof.</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up to $300,000,000 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5-1/2%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Subordinated Notes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pursuant to the Purchase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PROSPECTUS: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prospectus included in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 at the time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Registration Statement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declared effective, as amended or</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296" w:right="1440" w:bottom="1440" w:gutter="0" w:footer="0" w:header="0"/>
          <w:type w:val="continuous"/>
        </w:sectPr>
      </w:pPr>
    </w:p>
    <w:bookmarkStart w:id="178" w:name="page179"/>
    <w:bookmarkEnd w:id="178"/>
    <w:p>
      <w:pPr>
        <w:ind w:left="280"/>
        <w:spacing w:after="0"/>
        <w:rPr>
          <w:sz w:val="20"/>
          <w:szCs w:val="20"/>
          <w:color w:val="auto"/>
        </w:rPr>
      </w:pPr>
      <w:r>
        <w:rPr>
          <w:rFonts w:ascii="Courier New" w:cs="Courier New" w:eastAsia="Courier New" w:hAnsi="Courier New"/>
          <w:sz w:val="15"/>
          <w:szCs w:val="15"/>
          <w:color w:val="auto"/>
        </w:rPr>
        <w:t>3</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supplemented by any prospectus</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supplement and by all other</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amendments thereto, including</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post-effective amendments, all</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material incorporated by reference</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into such Prospectus and any</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information previously omitted in</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reliance upon Rule 430A of the Act.</w:t>
      </w:r>
    </w:p>
    <w:p>
      <w:pPr>
        <w:sectPr>
          <w:pgSz w:w="11900" w:h="16838" w:orient="portrait"/>
          <w:cols w:equalWidth="0" w:num="1">
            <w:col w:w="10219"/>
          </w:cols>
          <w:pgMar w:left="240" w:top="296" w:right="1440" w:bottom="1440" w:gutter="0" w:footer="0" w:header="0"/>
        </w:sectPr>
      </w:pPr>
    </w:p>
    <w:p>
      <w:pPr>
        <w:spacing w:after="0" w:line="18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RECOMMENCEMENT 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defined in Section 5(b) hereof.</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REGULATION 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Regulation S promulgated under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RULE 144: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Rule 144 promulgated under the Act.</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SHELF REGISTRATION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As defined in Section 3 hereof.</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SUSPENSION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As defined in Section 5(b) hereof.</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TIA: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Trust Indenture Act of 1939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U.S.C. Section 77aaa-77bbbb)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effect on the date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w:t>
      </w:r>
    </w:p>
    <w:p>
      <w:pPr>
        <w:spacing w:after="0" w:line="185" w:lineRule="exact"/>
        <w:rPr>
          <w:sz w:val="20"/>
          <w:szCs w:val="20"/>
          <w:color w:val="auto"/>
        </w:rPr>
      </w:pPr>
    </w:p>
    <w:p>
      <w:pPr>
        <w:sectPr>
          <w:pgSz w:w="11900" w:h="16838" w:orient="portrait"/>
          <w:cols w:equalWidth="0" w:num="2">
            <w:col w:w="3240" w:space="720"/>
            <w:col w:w="6259"/>
          </w:cols>
          <w:pgMar w:left="240" w:top="296" w:right="1440" w:bottom="1440" w:gutter="0" w:footer="0" w:header="0"/>
          <w:type w:val="continuous"/>
        </w:sectPr>
      </w:pPr>
    </w:p>
    <w:p>
      <w:pPr>
        <w:jc w:val="center"/>
        <w:ind w:left="540"/>
        <w:spacing w:after="0"/>
        <w:rPr>
          <w:sz w:val="20"/>
          <w:szCs w:val="20"/>
          <w:color w:val="auto"/>
        </w:rPr>
      </w:pPr>
      <w:r>
        <w:rPr>
          <w:rFonts w:ascii="Courier New" w:cs="Courier New" w:eastAsia="Courier New" w:hAnsi="Courier New"/>
          <w:sz w:val="15"/>
          <w:szCs w:val="15"/>
          <w:color w:val="auto"/>
        </w:rPr>
        <w:t>TRANSFER RESTRICTED SECURITIES:</w:t>
      </w:r>
    </w:p>
    <w:p>
      <w:pPr>
        <w:spacing w:after="0" w:line="20" w:lineRule="exact"/>
        <w:rPr>
          <w:sz w:val="20"/>
          <w:szCs w:val="20"/>
          <w:color w:val="auto"/>
        </w:rPr>
      </w:pPr>
      <w:r>
        <w:rPr>
          <w:sz w:val="20"/>
          <w:szCs w:val="20"/>
          <w:color w:val="auto"/>
        </w:rPr>
        <w:br w:type="column"/>
      </w:r>
    </w:p>
    <w:p>
      <w:pPr>
        <w:ind w:right="2839"/>
        <w:spacing w:after="0" w:line="250" w:lineRule="auto"/>
        <w:rPr>
          <w:sz w:val="20"/>
          <w:szCs w:val="20"/>
          <w:color w:val="auto"/>
        </w:rPr>
      </w:pPr>
      <w:r>
        <w:rPr>
          <w:rFonts w:ascii="Courier New" w:cs="Courier New" w:eastAsia="Courier New" w:hAnsi="Courier New"/>
          <w:sz w:val="15"/>
          <w:szCs w:val="15"/>
          <w:color w:val="auto"/>
        </w:rPr>
        <w:t>The Notes and the shares of Common Stock into which the Notes are convertible, upon original issuance thereof, and at all times subsequent thereto, until, in the case of any such Notes or shares of Common Stock, (a) the date on which such Notes or shares of Common Stock have been registered under the Act and disposed of in accordance with the Shelf Registration Statement, (b) the date on which such Notes or shares of Common Stock are distributed to the public pursuant to Rule 144 or are saleable pursuant to Rule 144(k) (or similar provisions then in effect) under the Act or (c) the date on which such Notes or shares of Common Stock cease to be outstanding.</w:t>
      </w:r>
    </w:p>
    <w:p>
      <w:pPr>
        <w:spacing w:after="0" w:line="186" w:lineRule="exact"/>
        <w:rPr>
          <w:sz w:val="20"/>
          <w:szCs w:val="20"/>
          <w:color w:val="auto"/>
        </w:rPr>
      </w:pPr>
    </w:p>
    <w:p>
      <w:pPr>
        <w:sectPr>
          <w:pgSz w:w="11900" w:h="16838" w:orient="portrait"/>
          <w:cols w:equalWidth="0" w:num="2">
            <w:col w:w="3400" w:space="560"/>
            <w:col w:w="6259"/>
          </w:cols>
          <w:pgMar w:left="240" w:top="29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SECTION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HOLDERS</w:t>
      </w:r>
    </w:p>
    <w:p>
      <w:pPr>
        <w:spacing w:after="0" w:line="185" w:lineRule="exact"/>
        <w:rPr>
          <w:sz w:val="20"/>
          <w:szCs w:val="20"/>
          <w:color w:val="auto"/>
        </w:rPr>
      </w:pPr>
    </w:p>
    <w:p>
      <w:pPr>
        <w:sectPr>
          <w:pgSz w:w="11900" w:h="16838" w:orient="portrait"/>
          <w:cols w:equalWidth="0" w:num="2">
            <w:col w:w="920" w:space="560"/>
            <w:col w:w="8739"/>
          </w:cols>
          <w:pgMar w:left="240" w:top="296" w:right="1440" w:bottom="1440" w:gutter="0" w:footer="0" w:header="0"/>
          <w:type w:val="continuous"/>
        </w:sectPr>
      </w:pPr>
    </w:p>
    <w:p>
      <w:pPr>
        <w:ind w:right="3019" w:firstLine="1015"/>
        <w:spacing w:after="0" w:line="252" w:lineRule="auto"/>
        <w:rPr>
          <w:sz w:val="20"/>
          <w:szCs w:val="20"/>
          <w:color w:val="auto"/>
        </w:rPr>
      </w:pPr>
      <w:r>
        <w:rPr>
          <w:rFonts w:ascii="Courier New" w:cs="Courier New" w:eastAsia="Courier New" w:hAnsi="Courier New"/>
          <w:sz w:val="15"/>
          <w:szCs w:val="15"/>
          <w:color w:val="auto"/>
        </w:rPr>
        <w:t>A Person is deemed to be a holder of Transfer Restricted Securities (each, a "HOLDER") whenever such Person owns of record Transfer Restricted Securities.</w:t>
      </w:r>
    </w:p>
    <w:p>
      <w:pPr>
        <w:spacing w:after="0" w:line="35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5"/>
          <w:szCs w:val="15"/>
          <w:color w:val="auto"/>
        </w:rPr>
        <w:t>SHELF REGISTRATION</w:t>
      </w:r>
    </w:p>
    <w:p>
      <w:pPr>
        <w:spacing w:after="0" w:line="185" w:lineRule="exact"/>
        <w:rPr>
          <w:sz w:val="20"/>
          <w:szCs w:val="20"/>
          <w:color w:val="auto"/>
        </w:rPr>
      </w:pPr>
    </w:p>
    <w:p>
      <w:pPr>
        <w:ind w:right="2839" w:firstLine="1010"/>
        <w:spacing w:after="0" w:line="251" w:lineRule="auto"/>
        <w:tabs>
          <w:tab w:leader="none" w:pos="1384"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Registration. As soon as practicable after the Closing Date but in no event later than 90 days after the Closing Date (such 90th day, "FILING DEADLINE"), the Company shall file with the Commission a shelf registration statement pursuant to Rule 415 under the Act (the "SHELF REGISTRATION STATEMENT"), relating to all Transfer Restricted Securities, and shall use its reasonable best efforts to cause such Shelf Registration Statement to become effective on or prior to 180 days after the Closing Date (such 180th day, the "EFFECTIVENESS DEADLINE").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6" w:right="1440" w:bottom="1440" w:gutter="0" w:footer="0" w:header="0"/>
          <w:type w:val="continuous"/>
        </w:sectPr>
      </w:pPr>
    </w:p>
    <w:bookmarkStart w:id="179" w:name="page180"/>
    <w:bookmarkEnd w:id="179"/>
    <w:p>
      <w:pPr>
        <w:ind w:left="280"/>
        <w:spacing w:after="0"/>
        <w:rPr>
          <w:sz w:val="20"/>
          <w:szCs w:val="20"/>
          <w:color w:val="auto"/>
        </w:rPr>
      </w:pPr>
      <w:r>
        <w:rPr>
          <w:rFonts w:ascii="Courier New" w:cs="Courier New" w:eastAsia="Courier New" w:hAnsi="Courier New"/>
          <w:sz w:val="15"/>
          <w:szCs w:val="15"/>
          <w:color w:val="auto"/>
        </w:rPr>
        <w:t>4</w:t>
      </w:r>
    </w:p>
    <w:p>
      <w:pPr>
        <w:spacing w:after="0" w:line="8"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The Company shall use its reasonable best efforts to keep any Shelf Registration Statement required by this Section 3(a) continuously effective, supplemented and amended as required by and subject to the provisions of Section 5(a) hereof to the extent necessary to ensure that it is available for sales of Transfer Restricted Securities by the Holders thereof entitled to the benefit of this Section 3(a), and to ensure that it conforms with the requirements of this Agreement, the Act and the policies, rules and regulations of the Commission as announced from time to time, for the shorter of (i) two years (as extended pursuant to Section 5(b) following the Closing Date) or (ii) the date on which all Transfer Restricted Securities covered by such Shelf Registration Statement have been sold pursuant thereto.</w:t>
      </w:r>
    </w:p>
    <w:p>
      <w:pPr>
        <w:spacing w:after="0" w:line="182" w:lineRule="exact"/>
        <w:rPr>
          <w:sz w:val="20"/>
          <w:szCs w:val="20"/>
          <w:color w:val="auto"/>
        </w:rPr>
      </w:pPr>
    </w:p>
    <w:p>
      <w:pPr>
        <w:ind w:right="2839" w:firstLine="1010"/>
        <w:spacing w:after="0" w:line="250" w:lineRule="auto"/>
        <w:tabs>
          <w:tab w:leader="none" w:pos="1384"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by Holders of Certain Information in Connection with the Shelf Registration Statement. No Holder of Transfer Restricted Securities may include any of its Transfer Restricted Securities in any Shelf Registration Statement pursuant to this Agreement unless and until such Holder furnishes to the Company in writing, within 20 days after receipt of a request therefor, the information specified in Item 507 or 508 of Regulation S-K, as applicable, of the Act for use in connection with any Shelf Registration Statement or Prospectus or preliminary Prospectus included therein. Each selling Holder agrees to promptly furnish additional information required to be disclosed in order to make the information previously furnished to the Company by such Holder not materially misleading.</w:t>
      </w:r>
    </w:p>
    <w:p>
      <w:pPr>
        <w:spacing w:after="0" w:line="36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5"/>
          <w:szCs w:val="15"/>
          <w:color w:val="auto"/>
        </w:rPr>
        <w:t>[INTENTIONALLY OMITTED]</w:t>
      </w:r>
    </w:p>
    <w:p>
      <w:pPr>
        <w:spacing w:after="0" w:line="36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5"/>
          <w:szCs w:val="15"/>
          <w:color w:val="auto"/>
        </w:rPr>
        <w:t>SHELF REGISTRATION PROCEDURES</w:t>
      </w:r>
    </w:p>
    <w:p>
      <w:pPr>
        <w:spacing w:after="0" w:line="185" w:lineRule="exact"/>
        <w:rPr>
          <w:sz w:val="20"/>
          <w:szCs w:val="20"/>
          <w:color w:val="auto"/>
        </w:rPr>
      </w:pPr>
    </w:p>
    <w:p>
      <w:pPr>
        <w:ind w:right="2939" w:firstLine="1010"/>
        <w:spacing w:after="0" w:line="253" w:lineRule="auto"/>
        <w:tabs>
          <w:tab w:leader="none" w:pos="1384"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Procedures. In connection with the Shelf Registration Statement, the Company shall:</w:t>
      </w:r>
    </w:p>
    <w:p>
      <w:pPr>
        <w:spacing w:after="0" w:line="174" w:lineRule="exact"/>
        <w:rPr>
          <w:rFonts w:ascii="Courier New" w:cs="Courier New" w:eastAsia="Courier New" w:hAnsi="Courier New"/>
          <w:sz w:val="15"/>
          <w:szCs w:val="15"/>
          <w:color w:val="auto"/>
        </w:rPr>
      </w:pPr>
    </w:p>
    <w:p>
      <w:pPr>
        <w:ind w:right="2839" w:firstLine="1471"/>
        <w:spacing w:after="0" w:line="250" w:lineRule="auto"/>
        <w:tabs>
          <w:tab w:leader="none" w:pos="1845"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effect such registration to permit the sale of the Transfer Restricted Securities being sold in accordance with the intended method or methods of distribution thereof (as indicated in the information furnished to the Company pursuant to Section 3(b) hereof), and pursuant thereto the Company will prepare and file with the Commission a Shelf Registration Statement relating to the registration on any appropriate form under the Act, which form shall be available for the sale of the Transfer Restricted Securities in accordance with the intended method or methods of distribution thereof (including, without limitation, one or more underwritten offerings) within the time periods and otherwise in accordance with the provisions hereof. The Company shall not be permitted to include in the Shelf Registration Statement any securities other than the Transfer Restricted Securities.</w:t>
      </w:r>
    </w:p>
    <w:p>
      <w:pPr>
        <w:spacing w:after="0" w:line="360" w:lineRule="exact"/>
        <w:rPr>
          <w:rFonts w:ascii="Courier New" w:cs="Courier New" w:eastAsia="Courier New" w:hAnsi="Courier New"/>
          <w:sz w:val="15"/>
          <w:szCs w:val="15"/>
          <w:color w:val="auto"/>
        </w:rPr>
      </w:pPr>
    </w:p>
    <w:p>
      <w:pPr>
        <w:ind w:right="3019" w:firstLine="1471"/>
        <w:spacing w:after="0" w:line="252" w:lineRule="auto"/>
        <w:tabs>
          <w:tab w:leader="none" w:pos="1938"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contact all Holders of Transfer Restricted Securities and notify each Holder of its right to include its Transfer Restricted Securities in such Shelf Registration Statement.</w:t>
      </w:r>
    </w:p>
    <w:p>
      <w:pPr>
        <w:spacing w:after="0" w:line="174" w:lineRule="exact"/>
        <w:rPr>
          <w:rFonts w:ascii="Courier New" w:cs="Courier New" w:eastAsia="Courier New" w:hAnsi="Courier New"/>
          <w:sz w:val="15"/>
          <w:szCs w:val="15"/>
          <w:color w:val="auto"/>
        </w:rPr>
      </w:pPr>
    </w:p>
    <w:p>
      <w:pPr>
        <w:ind w:right="2839" w:firstLine="1471"/>
        <w:spacing w:after="0" w:line="250" w:lineRule="auto"/>
        <w:tabs>
          <w:tab w:leader="none" w:pos="203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keep such Shelf Registration Statement continuously effective and provide all requisite financial statements for the period specified in Section 3 of this Agreement. Upon the occurrence of any event (including, without limitation, pending negotiations relating to, or the consummation of, a transaction or the occurrence of any event which would require additional disclosure of material non-public information by the Company in the Shelf Registration Statement as to which the Company has a bona fide business purpose for preserving confidential or which renders the Company unable to comply with Commission requirements) that would cause any such Shelf Registration Statement or the Prospectus contained therein (A) to contain an untrue statement of a material fact or omit to state any material fact necessary to make the statements therein not misleading or (B) not to be effective and usable for resale of Transfer Restricted Securities during the period required by this Agreement,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6"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5"/>
          <w:szCs w:val="15"/>
          <w:color w:val="auto"/>
        </w:rPr>
        <w:t>5</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Company shall file promptly an appropriate amendment to such Shelf Registration Statement curing such defect, and, if Commission review is required, use its best efforts to cause such amendment to be declared effective as soon as practicable; PROVIDED that in the event of a material business transaction (including, without limitation, pending negotiations relating to such a transaction) which would, in the opinion of counsel to the Company, require disclosure by the Company in the Shelf Registration Statement of material non-public information for which the Company has a bona fide business purpose for not disclosing, then for so long as such circumstances exist, the Company shall not be required to prepare and file a supplement or post-effective amendment hereunder.</w:t>
      </w:r>
    </w:p>
    <w:p>
      <w:pPr>
        <w:spacing w:after="0" w:line="182" w:lineRule="exact"/>
        <w:rPr>
          <w:sz w:val="20"/>
          <w:szCs w:val="20"/>
          <w:color w:val="auto"/>
        </w:rPr>
      </w:pPr>
    </w:p>
    <w:p>
      <w:pPr>
        <w:ind w:right="2839" w:firstLine="1471"/>
        <w:spacing w:after="0" w:line="250" w:lineRule="auto"/>
        <w:tabs>
          <w:tab w:leader="none" w:pos="193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such amendments and post-effective amendments to the Shelf Registration Statement as may be necessary to keep such Shelf Registration Statement effective for the applicable period set forth in Section 3 hereof, cause the Prospectus to be supplemented by any required Prospectus supplement, and as so supplemented to be filed pursuant to Rule 424 under the Act, and to comply fully with Rules 424, 430A and 462, as applicable, under the Act in a timely manner; and comply with the provisions of the Act with respect to the disposition of all Transfer Restricted Securities covered by such Shelf Registration Statement during the applicable period in accordance with the intended method or methods of distribution by the sellers thereof set forth in such Shelf Registration Statement or supplement to the Prospectus;</w:t>
      </w:r>
    </w:p>
    <w:p>
      <w:pPr>
        <w:spacing w:after="0" w:line="182" w:lineRule="exact"/>
        <w:rPr>
          <w:rFonts w:ascii="Courier New" w:cs="Courier New" w:eastAsia="Courier New" w:hAnsi="Courier New"/>
          <w:sz w:val="15"/>
          <w:szCs w:val="15"/>
          <w:color w:val="auto"/>
        </w:rPr>
      </w:pPr>
    </w:p>
    <w:p>
      <w:pPr>
        <w:ind w:right="2839" w:firstLine="1471"/>
        <w:spacing w:after="0" w:line="250" w:lineRule="auto"/>
        <w:tabs>
          <w:tab w:leader="none" w:pos="1845"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advise the Holders and underwriters, if any, promptly and, if requested by such Persons, confirm such advice in writing, (A) when the Prospectus or any Prospectus supplement or post-effective amendment has been filed, and, with respect to any Shelf Registration Statement or any post-effective amendment thereto, when the same has become effective, (B) of any request by the Commission for amendments to the Shelf Registration Statement or amendments or supplements to the Prospectus or for additional information relating thereto, (C) of the issuance by the Commission of any stop order suspending the effectiveness of the Shelf Registration Statement under the Act or of the suspension by any state securities commission of the qualification of the Transfer Restricted Securities for offering or sale in any jurisdiction, or the initiation of any proceeding for any of the preceding purposes, and (D) of the existence of any fact or the happening of any event (including, without limitation, pending negotiations relating to, or the consummation of, a transaction or the occurrence of any event which would require additional disclosure of material non-public information by the Company in the Shelf Registration Statement as to which the Company has a bona fide business purpose for preserving confidential or which renders the Company unable to comply with Commission requirements) that makes any statement of a material fact made in the Shelf Registration Statement, the Prospectus, any amendment or supplement thereto or any document incorporated by reference therein untrue, or that requires the making of any additions to or changes in the Shelf Registration Statement so that the statements therein are not misleading and do not omit to state a material fact required to be stated therein, or necessary to make the statements therein, in the light of the circumstances under which they were made, not misleading. If at any time the Commission shall issue any stop order suspending the effectiveness of the Shelf Registration Statement, or any state securities commission or other regulatory authority shall issue an order suspending the qualification or exemption from qualification of the Transfer Restricted Securities under state securities or Blue Sky laws, the Company shall use its reasonable best efforts to obtain the withdrawal or lifting of such order at the earliest possible time;</w:t>
      </w:r>
    </w:p>
    <w:p>
      <w:pPr>
        <w:spacing w:after="0" w:line="191" w:lineRule="exact"/>
        <w:rPr>
          <w:rFonts w:ascii="Courier New" w:cs="Courier New" w:eastAsia="Courier New" w:hAnsi="Courier New"/>
          <w:sz w:val="15"/>
          <w:szCs w:val="15"/>
          <w:color w:val="auto"/>
        </w:rPr>
      </w:pPr>
    </w:p>
    <w:p>
      <w:pPr>
        <w:ind w:right="2839" w:firstLine="1471"/>
        <w:spacing w:after="0" w:line="251" w:lineRule="auto"/>
        <w:tabs>
          <w:tab w:leader="none" w:pos="193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5(a)(iii), if any fact or event contemplated by Section 5(v)(D) above shall exist or have occurred, prepare a supplement or post-effective amendment to the Shelf Registration Statement or related Prospectus or any document incorporated therein by reference or file any other required document so that, as thereafter delivered to the purchasers of Transfer Restricted Securities, the Prospectus will not contain an untrue statement of a material fact or omit to state any material fact necessary to make the statements therein, in the light of the circumstances under which they were made, not misleading;</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6"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5"/>
          <w:szCs w:val="15"/>
          <w:color w:val="auto"/>
        </w:rPr>
        <w:t>6</w:t>
      </w:r>
    </w:p>
    <w:p>
      <w:pPr>
        <w:spacing w:after="0" w:line="8" w:lineRule="exact"/>
        <w:rPr>
          <w:sz w:val="20"/>
          <w:szCs w:val="20"/>
          <w:color w:val="auto"/>
        </w:rPr>
      </w:pPr>
    </w:p>
    <w:p>
      <w:pPr>
        <w:ind w:left="-280" w:right="2839" w:firstLine="1471"/>
        <w:spacing w:after="0" w:line="250" w:lineRule="auto"/>
        <w:tabs>
          <w:tab w:leader="none" w:pos="1750" w:val="left"/>
        </w:tabs>
        <w:numPr>
          <w:ilvl w:val="2"/>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each Holder named in any Shelf Registration Statement or Prospectus and underwriter, if any, in connection with such sale before filing with the Commission, copies of any Shelf Registration Statement or any Prospectus included therein or any amendments or supplements to any such Shelf Registration Statement or Prospectus (other than documents incorporated by reference after the initial filing of such Shelf Registration Statement), which documents will be subject to the review and comment of such Persons in connection with such sale, if any, for a period of at least five Business Days, and the Company will not file any such Shelf Registration Statement or Prospectus or any amendment or supplement to any such Shelf Registration Statement or Prospectus (other than documents incorporated by reference) to which such Persons shall reasonably object within five Business Days after the receipt thereof. Any such Person shall be deemed to have reasonably objected to such filing if such Registration Statement, amendment, Prospectus or supplement, as applicable, as proposed to be filed, contains an untrue statement of a material fact or omits to state any material fact necessary to make the statements therein not misleading or fails to comply with the applicable requirements of the Act;</w:t>
      </w:r>
    </w:p>
    <w:p>
      <w:pPr>
        <w:spacing w:after="0" w:line="362" w:lineRule="exact"/>
        <w:rPr>
          <w:rFonts w:ascii="Courier New" w:cs="Courier New" w:eastAsia="Courier New" w:hAnsi="Courier New"/>
          <w:sz w:val="15"/>
          <w:szCs w:val="15"/>
          <w:color w:val="auto"/>
        </w:rPr>
      </w:pPr>
    </w:p>
    <w:p>
      <w:pPr>
        <w:ind w:left="-280" w:right="2839" w:firstLine="1471"/>
        <w:spacing w:after="0" w:line="251" w:lineRule="auto"/>
        <w:tabs>
          <w:tab w:leader="none" w:pos="1842" w:val="left"/>
        </w:tabs>
        <w:numPr>
          <w:ilvl w:val="2"/>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any Holders or underwriters, if any, in connection with such sale, promptly include in any Shelf Registration Statement or Prospectus, pursuant to a supplement or post-effective amendment if necessary, such information as such Holders or underwriters, if any, may reasonably request to have included therein, including, without limitation, information relating to the "Plan of Distribution" of the Transfer Restricted Securities; and make all required filings of such Prospectus supplement or post-effective amendment as soon as practicable after the Company is notified of the matters to be included in such Prospectus supplement or post-effective amendment;</w:t>
      </w:r>
    </w:p>
    <w:p>
      <w:pPr>
        <w:spacing w:after="0" w:line="352" w:lineRule="exact"/>
        <w:rPr>
          <w:rFonts w:ascii="Courier New" w:cs="Courier New" w:eastAsia="Courier New" w:hAnsi="Courier New"/>
          <w:sz w:val="15"/>
          <w:szCs w:val="15"/>
          <w:color w:val="auto"/>
        </w:rPr>
      </w:pPr>
    </w:p>
    <w:p>
      <w:pPr>
        <w:ind w:left="-280" w:right="2839" w:firstLine="1471"/>
        <w:spacing w:after="0" w:line="251" w:lineRule="auto"/>
        <w:tabs>
          <w:tab w:leader="none" w:pos="1658" w:val="left"/>
        </w:tabs>
        <w:numPr>
          <w:ilvl w:val="2"/>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available to each Holder and underwriter, if any, without charge, at least one copy of the Shelf Registration Statement, as first filed with the Commission, and of each amendment thereto, including all documents incorporated by reference therein and all exhibits (including exhibits incorporated therein by reference);</w:t>
      </w:r>
    </w:p>
    <w:p>
      <w:pPr>
        <w:spacing w:after="0" w:line="176" w:lineRule="exact"/>
        <w:rPr>
          <w:rFonts w:ascii="Courier New" w:cs="Courier New" w:eastAsia="Courier New" w:hAnsi="Courier New"/>
          <w:sz w:val="15"/>
          <w:szCs w:val="15"/>
          <w:color w:val="auto"/>
        </w:rPr>
      </w:pPr>
    </w:p>
    <w:p>
      <w:pPr>
        <w:ind w:left="-280" w:right="2839" w:firstLine="1471"/>
        <w:spacing w:after="0" w:line="251" w:lineRule="auto"/>
        <w:tabs>
          <w:tab w:leader="none" w:pos="1565" w:val="left"/>
        </w:tabs>
        <w:numPr>
          <w:ilvl w:val="2"/>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each Holder and underwriter, if any, without charge, as many copies of the Prospectus (including each preliminary prospectus) and any amendment or supplement thereto as such Persons reasonably may request; the Company hereby consents to the use (in accordance with law) of the Prospectus and any amendment or supplement thereto by each Holder and each underwriter, if any, in connection with the offering and the sale of the Transfer Restricted Securities covered by the Prospectus or any amendment or supplement thereto;</w:t>
      </w:r>
    </w:p>
    <w:p>
      <w:pPr>
        <w:spacing w:after="0" w:line="352" w:lineRule="exact"/>
        <w:rPr>
          <w:rFonts w:ascii="Courier New" w:cs="Courier New" w:eastAsia="Courier New" w:hAnsi="Courier New"/>
          <w:sz w:val="15"/>
          <w:szCs w:val="15"/>
          <w:color w:val="auto"/>
        </w:rPr>
      </w:pPr>
    </w:p>
    <w:p>
      <w:pPr>
        <w:ind w:left="-280" w:right="2939" w:firstLine="1471"/>
        <w:spacing w:after="0" w:line="251" w:lineRule="auto"/>
        <w:tabs>
          <w:tab w:leader="none" w:pos="1658" w:val="left"/>
        </w:tabs>
        <w:numPr>
          <w:ilvl w:val="2"/>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request of any Holder or underwriter, if any, enter into such agreements (including underwriting agreements) and make such representations and warranties and take all such other actions in connection therewith in order to expedite or facilitate the disposition of the Transfer Restricted Securities pursuant to any Shelf Registration Statement contemplated by this Agreement as may be reasonably requested by such Person in connection with any sale or resale pursuant to any applicable Shelf Registration Statement and in such connection, the Company shall:</w:t>
      </w:r>
    </w:p>
    <w:p>
      <w:pPr>
        <w:spacing w:after="0" w:line="175" w:lineRule="exact"/>
        <w:rPr>
          <w:rFonts w:ascii="Courier New" w:cs="Courier New" w:eastAsia="Courier New" w:hAnsi="Courier New"/>
          <w:sz w:val="15"/>
          <w:szCs w:val="15"/>
          <w:color w:val="auto"/>
        </w:rPr>
      </w:pPr>
    </w:p>
    <w:p>
      <w:pPr>
        <w:ind w:left="1200" w:right="2939" w:hanging="655"/>
        <w:spacing w:after="0" w:line="251" w:lineRule="auto"/>
        <w:tabs>
          <w:tab w:leader="none" w:pos="12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request of any Holder or underwriter, if any, furnish (or in the case of paragraphs (2) and (3) below, use its reasonable best efforts to cause to be furnished) to each Holder or underwriter, if any, upon the effectiveness of the Shelf Registration Statement:</w:t>
      </w:r>
    </w:p>
    <w:p>
      <w:pPr>
        <w:spacing w:after="0" w:line="176" w:lineRule="exact"/>
        <w:rPr>
          <w:rFonts w:ascii="Courier New" w:cs="Courier New" w:eastAsia="Courier New" w:hAnsi="Courier New"/>
          <w:sz w:val="15"/>
          <w:szCs w:val="15"/>
          <w:color w:val="auto"/>
        </w:rPr>
      </w:pPr>
    </w:p>
    <w:p>
      <w:pPr>
        <w:ind w:left="1740" w:right="2839" w:hanging="641"/>
        <w:spacing w:after="0" w:line="251" w:lineRule="auto"/>
        <w:tabs>
          <w:tab w:leader="none" w:pos="174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dated such date, signed on behalf of the Company by (x) the President or any Vice President and (y) a principal financial or accounting officer of the Company, confirming, as of the date thereof, the matters set forth in Sections 6(dd), 9(a) and 9(b) of the Purchase Agreement and such other similar matters as the Holders may</w:t>
      </w:r>
    </w:p>
    <w:p>
      <w:pPr>
        <w:spacing w:after="0" w:line="35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39"/>
          </w:cols>
          <w:pgMar w:left="520" w:top="295"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5"/>
          <w:szCs w:val="15"/>
          <w:color w:val="auto"/>
        </w:rPr>
        <w:t>7</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reasonably request;</w:t>
      </w:r>
    </w:p>
    <w:p>
      <w:pPr>
        <w:spacing w:after="0" w:line="185" w:lineRule="exact"/>
        <w:rPr>
          <w:sz w:val="20"/>
          <w:szCs w:val="20"/>
          <w:color w:val="auto"/>
        </w:rPr>
      </w:pPr>
    </w:p>
    <w:p>
      <w:pPr>
        <w:ind w:left="1740" w:right="2839" w:hanging="641"/>
        <w:spacing w:after="0" w:line="250" w:lineRule="auto"/>
        <w:tabs>
          <w:tab w:leader="none" w:pos="174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available at reasonable times for inspection by the Holders and underwriters, if any, and any attorney or accountant retained by such Holders, or underwriters, if any, all financial and other records, pertinent corporate documents of the Company and cause the Company's officers, directors and employees to supply all information reasonably requested by any such Holder, underwriters, if any, attorney or accountant in connection with such Shelf Registration Statement or any post-effective amendment thereto subsequent to the filing thereof and prior to its effectiveness, PROVIDED, HOWEVER, that the foregoing inspection and information gathering shall be coordinated by one counsel designated by the Holders and that such persons shall first agree in writing with the Company that any information that is designated in writing by the Company, in good faith, as confidential at the time of delivery of such information shall be kept confidential by such person, unless such disclosure is made in connection with a court proceeding or required by law, or such information becomes available to the public generally or through a third party without an accompanying obligation of confidentiality;</w:t>
      </w:r>
    </w:p>
    <w:p>
      <w:pPr>
        <w:spacing w:after="0" w:line="187" w:lineRule="exact"/>
        <w:rPr>
          <w:rFonts w:ascii="Courier New" w:cs="Courier New" w:eastAsia="Courier New" w:hAnsi="Courier New"/>
          <w:sz w:val="15"/>
          <w:szCs w:val="15"/>
          <w:color w:val="auto"/>
        </w:rPr>
      </w:pPr>
    </w:p>
    <w:p>
      <w:pPr>
        <w:ind w:left="1740" w:right="2839" w:hanging="641"/>
        <w:spacing w:after="0" w:line="250" w:lineRule="auto"/>
        <w:tabs>
          <w:tab w:leader="none" w:pos="174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underwritten offering, an opinion, dated the date effectiveness of the Shelf Registration Statement, of counsel for the Company covering matters similar to those set forth in paragraph (e) of Section 9 of the Purchase Agreement and such other matter as the selling Holders may reasonably request, and in any event including a statement to the effect that such counsel has participated in conferences with officers and other representatives of the Company, representatives of the independent public accountants for the Company and have considered the matters required to be stated therein and the statements contained therein, although such counsel has not independently verified the accuracy, completeness or fairness of such statements; and that such counsel advises that, on the basis of the foregoing (relying as to materiality to the extent such counsel deems appropriate upon the statements of officers and other representatives of the Company), no facts came to such counsel's attention that caused such counsel to believe that the Shelf Registration Statement, at the time such Shelf Registration Statement or any post-effective amendment thereto became effective, contained an untrue statement of a material fact or omitted to state a material fact required to be stated therein or necessary to make the statements therein not misleading, or that the Prospectus contained in such Shelf Registration Statement as of its date, contained an untrue statement of a material fact or omitted to state a material fact necessary in order to make the statements therein, in the light of the circumstances under which they were made, not misleading. Without limiting the foregoing, such counsel may state further that such counsel assumes no responsibility for, and has not independently verified, the accuracy, completeness or fairness of the financial statements, notes and schedules and other financial data included in any Registration Statement contemplated by this Agreement or the related Prospectus; and</w:t>
      </w:r>
    </w:p>
    <w:p>
      <w:pPr>
        <w:spacing w:after="0" w:line="370" w:lineRule="exact"/>
        <w:rPr>
          <w:rFonts w:ascii="Courier New" w:cs="Courier New" w:eastAsia="Courier New" w:hAnsi="Courier New"/>
          <w:sz w:val="15"/>
          <w:szCs w:val="15"/>
          <w:color w:val="auto"/>
        </w:rPr>
      </w:pPr>
    </w:p>
    <w:p>
      <w:pPr>
        <w:ind w:left="1740" w:right="2839" w:hanging="641"/>
        <w:spacing w:after="0" w:line="251" w:lineRule="auto"/>
        <w:tabs>
          <w:tab w:leader="none" w:pos="174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customary comfort letter, dated as of the date of effectiveness of the Shelf Registration Statement from the Company's independent accountants, in the customary form and covering matters of the type customarily covered in comfort letters to underwriters in connection with underwritten offerings, and affirming the matters set forth in the comfort letters delivered pursuant to Section 9(g) of the Purchase Agreement; and</w:t>
      </w:r>
    </w:p>
    <w:p>
      <w:pPr>
        <w:spacing w:after="0" w:line="175" w:lineRule="exact"/>
        <w:rPr>
          <w:rFonts w:ascii="Courier New" w:cs="Courier New" w:eastAsia="Courier New" w:hAnsi="Courier New"/>
          <w:sz w:val="15"/>
          <w:szCs w:val="15"/>
          <w:color w:val="auto"/>
        </w:rPr>
      </w:pPr>
    </w:p>
    <w:p>
      <w:pPr>
        <w:ind w:left="1200" w:right="3679" w:hanging="655"/>
        <w:spacing w:after="0" w:line="253" w:lineRule="auto"/>
        <w:tabs>
          <w:tab w:leader="none" w:pos="120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such other documents and certificates as may be reasonably requested by the Holders</w:t>
      </w:r>
    </w:p>
    <w:p>
      <w:pPr>
        <w:sectPr>
          <w:pgSz w:w="11900" w:h="16838" w:orient="portrait"/>
          <w:cols w:equalWidth="0" w:num="1">
            <w:col w:w="9939"/>
          </w:cols>
          <w:pgMar w:left="520" w:top="296" w:right="1440" w:bottom="1440" w:gutter="0" w:footer="0" w:header="0"/>
        </w:sectPr>
      </w:pP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9939"/>
          </w:cols>
          <w:pgMar w:left="520" w:top="296" w:right="1440" w:bottom="1440" w:gutter="0" w:footer="0" w:header="0"/>
          <w:type w:val="continuous"/>
        </w:sectPr>
      </w:pPr>
    </w:p>
    <w:bookmarkStart w:id="183" w:name="page184"/>
    <w:bookmarkEnd w:id="183"/>
    <w:p>
      <w:pPr>
        <w:spacing w:after="0"/>
        <w:rPr>
          <w:sz w:val="20"/>
          <w:szCs w:val="20"/>
          <w:color w:val="auto"/>
        </w:rPr>
      </w:pPr>
      <w:r>
        <w:rPr>
          <w:rFonts w:ascii="Courier New" w:cs="Courier New" w:eastAsia="Courier New" w:hAnsi="Courier New"/>
          <w:sz w:val="15"/>
          <w:szCs w:val="15"/>
          <w:color w:val="auto"/>
        </w:rPr>
        <w:t>8</w:t>
      </w:r>
    </w:p>
    <w:p>
      <w:pPr>
        <w:spacing w:after="0" w:line="8" w:lineRule="exact"/>
        <w:rPr>
          <w:sz w:val="20"/>
          <w:szCs w:val="20"/>
          <w:color w:val="auto"/>
        </w:rPr>
      </w:pPr>
    </w:p>
    <w:p>
      <w:pPr>
        <w:ind w:left="1200" w:right="3219"/>
        <w:spacing w:after="0" w:line="251" w:lineRule="auto"/>
        <w:rPr>
          <w:sz w:val="20"/>
          <w:szCs w:val="20"/>
          <w:color w:val="auto"/>
        </w:rPr>
      </w:pPr>
      <w:r>
        <w:rPr>
          <w:rFonts w:ascii="Courier New" w:cs="Courier New" w:eastAsia="Courier New" w:hAnsi="Courier New"/>
          <w:sz w:val="15"/>
          <w:szCs w:val="15"/>
          <w:color w:val="auto"/>
        </w:rPr>
        <w:t>and underwriters, if any, to evidence compliance with the matters set forth in clause (A) above and with any customary conditions contained in any agreement entered into by the Company pursuant to this clause (xiii);</w:t>
      </w:r>
    </w:p>
    <w:p>
      <w:pPr>
        <w:spacing w:after="0" w:line="176" w:lineRule="exact"/>
        <w:rPr>
          <w:sz w:val="20"/>
          <w:szCs w:val="20"/>
          <w:color w:val="auto"/>
        </w:rPr>
      </w:pPr>
    </w:p>
    <w:p>
      <w:pPr>
        <w:ind w:left="-280" w:right="2839" w:firstLine="1471"/>
        <w:spacing w:after="0" w:line="250" w:lineRule="auto"/>
        <w:tabs>
          <w:tab w:leader="none" w:pos="175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any public offering of Transfer Restricted Securities, cooperate with the Holders, underwriters, if any, and their respective counsel in connection with the registration and qualification of the Transfer Restricted Securities under the securities or Blue Sky laws of such jurisdictions as such Persons may request and do any and all other acts or things necessary or advisable to enable the disposition in such jurisdictions of the Transfer Restricted Securities covered by the applicable Registration Statement; provided, however, that the Company shall not be required to register or qualify as a foreign corporation where it is not now so qualified or to take any action that would subject it to the service of process in suits or to taxation, other than as to matters and transactions relating to the Shelf Registration Statement, in any jurisdiction where it is not now so subject;</w:t>
      </w:r>
    </w:p>
    <w:p>
      <w:pPr>
        <w:spacing w:after="0" w:line="182" w:lineRule="exact"/>
        <w:rPr>
          <w:rFonts w:ascii="Courier New" w:cs="Courier New" w:eastAsia="Courier New" w:hAnsi="Courier New"/>
          <w:sz w:val="15"/>
          <w:szCs w:val="15"/>
          <w:color w:val="auto"/>
        </w:rPr>
      </w:pPr>
    </w:p>
    <w:p>
      <w:pPr>
        <w:ind w:left="-280" w:right="2939" w:firstLine="1471"/>
        <w:spacing w:after="0" w:line="251" w:lineRule="auto"/>
        <w:tabs>
          <w:tab w:leader="none" w:pos="1842"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of Transfer Restricted Securities that will result in such securities no longer being Transfer Restricted Securities, cooperate with the Holders to facilitate the timely preparation and delivery of certificates representing Transfer Restricted Securities to be sold and not bearing any restrictive legends; and to register such Transfer Restricted Securities in such denominations and such names as the Holders may request at least two Business Days prior to such sale of Transfer Restricted Securities;</w:t>
      </w:r>
    </w:p>
    <w:p>
      <w:pPr>
        <w:spacing w:after="0" w:line="175" w:lineRule="exact"/>
        <w:rPr>
          <w:rFonts w:ascii="Courier New" w:cs="Courier New" w:eastAsia="Courier New" w:hAnsi="Courier New"/>
          <w:sz w:val="15"/>
          <w:szCs w:val="15"/>
          <w:color w:val="auto"/>
        </w:rPr>
      </w:pPr>
    </w:p>
    <w:p>
      <w:pPr>
        <w:ind w:left="-280" w:right="2939" w:firstLine="1471"/>
        <w:spacing w:after="0" w:line="251" w:lineRule="auto"/>
        <w:tabs>
          <w:tab w:leader="none" w:pos="175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list all Shares of Common Stock covered by such Shelf Registration Statement on any securities exchange on which the Common Stock is then listed or (B) authorize for quotation on the National Association of Securities Dealers Automated Quotation System ("Nasdaq") or the National Market System of Nasdaq all Shares of Common Stock covered by such Shelf Registration Statement if the Common Stock is then so authorized for quotation.</w:t>
      </w:r>
    </w:p>
    <w:p>
      <w:pPr>
        <w:spacing w:after="0" w:line="175" w:lineRule="exact"/>
        <w:rPr>
          <w:rFonts w:ascii="Courier New" w:cs="Courier New" w:eastAsia="Courier New" w:hAnsi="Courier New"/>
          <w:sz w:val="15"/>
          <w:szCs w:val="15"/>
          <w:color w:val="auto"/>
        </w:rPr>
      </w:pPr>
    </w:p>
    <w:p>
      <w:pPr>
        <w:ind w:left="-280" w:right="2839" w:firstLine="1471"/>
        <w:spacing w:after="0" w:line="251" w:lineRule="auto"/>
        <w:tabs>
          <w:tab w:leader="none" w:pos="165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cause the disposition of the Transfer Restricted Securities covered by the Shelf Registration Statement to be registered with or approved by such other governmental agencies or authorities as may be necessary to enable the seller or sellers thereof to consummate the disposition of such Transfer Restricted Securities, subject to the proviso contained in clause (xiv) above;</w:t>
      </w:r>
    </w:p>
    <w:p>
      <w:pPr>
        <w:spacing w:after="0" w:line="175" w:lineRule="exact"/>
        <w:rPr>
          <w:rFonts w:ascii="Courier New" w:cs="Courier New" w:eastAsia="Courier New" w:hAnsi="Courier New"/>
          <w:sz w:val="15"/>
          <w:szCs w:val="15"/>
          <w:color w:val="auto"/>
        </w:rPr>
      </w:pPr>
    </w:p>
    <w:p>
      <w:pPr>
        <w:ind w:left="-280" w:right="2939" w:firstLine="1471"/>
        <w:spacing w:after="0" w:line="251" w:lineRule="auto"/>
        <w:tabs>
          <w:tab w:leader="none" w:pos="175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CUSIP number for all Transfer Restricted Securities not later than the effective date of a Shelf Registration Statement covering such Transfer Restricted Securities and provide the Trustee under the Indenture with certificates for the Transfer Restricted Securities which are in a form eligible for deposit with the Depository Trust Company;</w:t>
      </w:r>
    </w:p>
    <w:p>
      <w:pPr>
        <w:spacing w:after="0" w:line="176" w:lineRule="exact"/>
        <w:rPr>
          <w:rFonts w:ascii="Courier New" w:cs="Courier New" w:eastAsia="Courier New" w:hAnsi="Courier New"/>
          <w:sz w:val="15"/>
          <w:szCs w:val="15"/>
          <w:color w:val="auto"/>
        </w:rPr>
      </w:pPr>
    </w:p>
    <w:p>
      <w:pPr>
        <w:ind w:left="-280" w:right="2839" w:firstLine="1471"/>
        <w:spacing w:after="0" w:line="251" w:lineRule="auto"/>
        <w:tabs>
          <w:tab w:leader="none" w:pos="1842"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use its best efforts to comply with all applicable rules and regulations of the Commission, and make generally available to its security holders with regard to any applicable Registration Statement, as soon as practicable, a consolidated earnings statement meeting the requirements of Rule 158 (which need not be audited) covering a twelve-month period beginning after the effective date of the Registration Statement (as such term is defined in paragraph (c) of Rule 158 under the Act);</w:t>
      </w:r>
    </w:p>
    <w:p>
      <w:pPr>
        <w:spacing w:after="0" w:line="175" w:lineRule="exact"/>
        <w:rPr>
          <w:rFonts w:ascii="Courier New" w:cs="Courier New" w:eastAsia="Courier New" w:hAnsi="Courier New"/>
          <w:sz w:val="15"/>
          <w:szCs w:val="15"/>
          <w:color w:val="auto"/>
        </w:rPr>
      </w:pPr>
    </w:p>
    <w:p>
      <w:pPr>
        <w:ind w:left="-280" w:right="2839" w:firstLine="1471"/>
        <w:spacing w:after="0" w:line="251" w:lineRule="auto"/>
        <w:tabs>
          <w:tab w:leader="none" w:pos="193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underwritten, make appropriate officers of the Company available to the underwriters for meetings with prospective purchasers of the Transfer Restricted Securities and prepare and present to potential investors customary "road show" material in a manner consistent with other new issuances of other securities similar to the Transfer Restricted Securities; and</w:t>
      </w:r>
    </w:p>
    <w:p>
      <w:pPr>
        <w:spacing w:after="0" w:line="176" w:lineRule="exact"/>
        <w:rPr>
          <w:rFonts w:ascii="Courier New" w:cs="Courier New" w:eastAsia="Courier New" w:hAnsi="Courier New"/>
          <w:sz w:val="15"/>
          <w:szCs w:val="15"/>
          <w:color w:val="auto"/>
        </w:rPr>
      </w:pPr>
    </w:p>
    <w:p>
      <w:pPr>
        <w:ind w:left="-280" w:right="3299" w:firstLine="1471"/>
        <w:spacing w:after="0" w:line="253" w:lineRule="auto"/>
        <w:tabs>
          <w:tab w:leader="none" w:pos="175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Indenture to be qualified under the TIA not later than the effective date of the</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39"/>
          </w:cols>
          <w:pgMar w:left="520" w:top="295" w:right="1440" w:bottom="1440" w:gutter="0" w:footer="0" w:header="0"/>
        </w:sectPr>
      </w:pPr>
    </w:p>
    <w:bookmarkStart w:id="184" w:name="page185"/>
    <w:bookmarkEnd w:id="184"/>
    <w:p>
      <w:pPr>
        <w:ind w:left="285"/>
        <w:spacing w:after="0"/>
        <w:rPr>
          <w:sz w:val="20"/>
          <w:szCs w:val="20"/>
          <w:color w:val="auto"/>
        </w:rPr>
      </w:pPr>
      <w:r>
        <w:rPr>
          <w:rFonts w:ascii="Courier New" w:cs="Courier New" w:eastAsia="Courier New" w:hAnsi="Courier New"/>
          <w:sz w:val="15"/>
          <w:szCs w:val="15"/>
          <w:color w:val="auto"/>
        </w:rPr>
        <w:t>9</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Shelf Registration Statement required by this Agreement and, in connection therewith, cooperate with the Trustee and the Holders to effect such changes to the Indenture as may be required for such Indenture to be so qualified in accordance with the terms of the TIA; and execute and use its best efforts to cause the Trustee to execute, all documents that may be required to effect such changes and all other forms and documents required to be filed with the Commission to enable such Indenture to be so qualified in a timely manner; and</w:t>
      </w:r>
    </w:p>
    <w:p>
      <w:pPr>
        <w:spacing w:after="0" w:line="176" w:lineRule="exact"/>
        <w:rPr>
          <w:sz w:val="20"/>
          <w:szCs w:val="20"/>
          <w:color w:val="auto"/>
        </w:rPr>
      </w:pPr>
    </w:p>
    <w:p>
      <w:pPr>
        <w:jc w:val="both"/>
        <w:ind w:left="5" w:right="2939" w:firstLine="1471"/>
        <w:spacing w:after="0" w:line="252" w:lineRule="auto"/>
        <w:tabs>
          <w:tab w:leader="none" w:pos="1943" w:val="left"/>
        </w:tabs>
        <w:numPr>
          <w:ilvl w:val="2"/>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promptly to each Holder upon request each document filed with the Commission pursuant to the requirements of Section 13 or Section 15(d) of the Exchange Act.</w:t>
      </w:r>
    </w:p>
    <w:p>
      <w:pPr>
        <w:spacing w:after="0" w:line="174" w:lineRule="exact"/>
        <w:rPr>
          <w:rFonts w:ascii="Courier New" w:cs="Courier New" w:eastAsia="Courier New" w:hAnsi="Courier New"/>
          <w:sz w:val="15"/>
          <w:szCs w:val="15"/>
          <w:color w:val="auto"/>
        </w:rPr>
      </w:pPr>
    </w:p>
    <w:p>
      <w:pPr>
        <w:ind w:left="5" w:right="2939" w:firstLine="1010"/>
        <w:spacing w:after="0" w:line="250" w:lineRule="auto"/>
        <w:tabs>
          <w:tab w:leader="none" w:pos="1389"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Holders. Each Holder agrees by acquisition of a Transfer Restricted Security that, upon receipt of the notice referred to in Section 5(a)(v)(C) or any notice from the Company of the existence of any fact of the kind described in Section 5(a)(v)(D) hereof (in each case, a "SUSPENSION NOTICE"), such Holder will forthwith discontinue disposition of Transfer Restricted Securities pursuant to the applicable Registration Statement until</w:t>
      </w:r>
    </w:p>
    <w:p>
      <w:pPr>
        <w:spacing w:after="0" w:line="2" w:lineRule="exact"/>
        <w:rPr>
          <w:rFonts w:ascii="Courier New" w:cs="Courier New" w:eastAsia="Courier New" w:hAnsi="Courier New"/>
          <w:sz w:val="15"/>
          <w:szCs w:val="15"/>
          <w:color w:val="auto"/>
        </w:rPr>
      </w:pPr>
    </w:p>
    <w:p>
      <w:pPr>
        <w:ind w:left="5" w:right="2839" w:hanging="5"/>
        <w:spacing w:after="0" w:line="250" w:lineRule="auto"/>
        <w:tabs>
          <w:tab w:leader="none" w:pos="375"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Holder's has received copies of the supplemented or amended Prospectus contemplated by Section 5(a)(vi) hereof, or (ii) such Holder is advised in writing by the Company that the use of the Prospectus may be resumed, and has received copies of any additional or supplemental filings that are incorporated by reference in the Prospectus (in each case, the "RECOMMENCEMENT DATE"). Each Holder receiving a Suspension Notice hereby agrees that it will either (i) destroy any Prospectuses, other than permanent file copies, then in such Holder's possession which have been replaced by the Company with more recently dated Prospectuses or (ii) deliver to the Company (at the Company's expense) all copies, other than permanent file copies, then in such Holder's possession of the Prospectus covering such Transfer Restricted Securities that was current at the time of receipt of the Suspension Notice. The time period regarding the effectiveness of the Shelf Registration Statement set forth in Section 3 hereof, shall be extended by a number of days equal to the number of days in the period from and including the date of delivery of the Suspension Notice to the date of delivery of the Recommencement Date.</w:t>
      </w:r>
    </w:p>
    <w:p>
      <w:pPr>
        <w:spacing w:after="0" w:line="362" w:lineRule="exact"/>
        <w:rPr>
          <w:sz w:val="20"/>
          <w:szCs w:val="20"/>
          <w:color w:val="auto"/>
        </w:rPr>
      </w:pPr>
    </w:p>
    <w:p>
      <w:pPr>
        <w:ind w:left="5"/>
        <w:spacing w:after="0"/>
        <w:tabs>
          <w:tab w:leader="none" w:pos="1465"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5"/>
          <w:szCs w:val="15"/>
          <w:color w:val="auto"/>
        </w:rPr>
        <w:t>REGISTRATION EXPENSES</w:t>
      </w:r>
    </w:p>
    <w:p>
      <w:pPr>
        <w:spacing w:after="0" w:line="185" w:lineRule="exact"/>
        <w:rPr>
          <w:sz w:val="20"/>
          <w:szCs w:val="20"/>
          <w:color w:val="auto"/>
        </w:rPr>
      </w:pPr>
    </w:p>
    <w:p>
      <w:pPr>
        <w:ind w:left="5" w:right="2839" w:firstLine="1010"/>
        <w:spacing w:after="0" w:line="250" w:lineRule="auto"/>
        <w:tabs>
          <w:tab w:leader="none" w:pos="1389"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expenses incident to the Company's performance of or compliance with this Agreement will be borne by the Company, regardless of whether a Shelf Registration Statement required by this Agreement becomes effective, including without limitation: (i) all registration and filing fees and expenses; (ii) all fees and expenses of compliance with federal securities and state Blue Sky or securities laws; (iii) all expenses of printing (including printing certificates for the Common Stock to be issued upon conversion of the Notes and printing of Prospectuses), messenger and delivery services and telephone; (iv) all fees and disbursements of counsel for the Company (subject to clause (b) below); (v) all application and filing fees in connection with listing the Common Stock on a national securities exchange or automated quotation system pursuant to the requirements hereof; and (vi) all fees and disbursements of independent certified public accountants of the Company (including the expenses of any special audit and comfort letters required by or incident to such performance).</w:t>
      </w:r>
    </w:p>
    <w:p>
      <w:pPr>
        <w:spacing w:after="0" w:line="184" w:lineRule="exact"/>
        <w:rPr>
          <w:sz w:val="20"/>
          <w:szCs w:val="20"/>
          <w:color w:val="auto"/>
        </w:rPr>
      </w:pPr>
    </w:p>
    <w:p>
      <w:pPr>
        <w:ind w:left="5" w:right="3119" w:firstLine="1015"/>
        <w:spacing w:after="0" w:line="251" w:lineRule="auto"/>
        <w:rPr>
          <w:sz w:val="20"/>
          <w:szCs w:val="20"/>
          <w:color w:val="auto"/>
        </w:rPr>
      </w:pPr>
      <w:r>
        <w:rPr>
          <w:rFonts w:ascii="Courier New" w:cs="Courier New" w:eastAsia="Courier New" w:hAnsi="Courier New"/>
          <w:sz w:val="15"/>
          <w:szCs w:val="15"/>
          <w:color w:val="auto"/>
        </w:rPr>
        <w:t>The Company will, in any event, bear its internal expenses (including, without limitation, all salaries and expenses of its officers and employees performing legal or accounting duties), the expenses of any annual audit and the fees and expenses of any Person, including special experts, retained by the Company.</w:t>
      </w:r>
    </w:p>
    <w:p>
      <w:pPr>
        <w:spacing w:after="0" w:line="176" w:lineRule="exact"/>
        <w:rPr>
          <w:sz w:val="20"/>
          <w:szCs w:val="20"/>
          <w:color w:val="auto"/>
        </w:rPr>
      </w:pPr>
    </w:p>
    <w:p>
      <w:pPr>
        <w:ind w:left="5" w:right="3019" w:firstLine="1010"/>
        <w:spacing w:after="0" w:line="253" w:lineRule="auto"/>
        <w:tabs>
          <w:tab w:leader="none" w:pos="1389"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Shelf Registration Statement required by this Agreement, the</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295"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5"/>
          <w:szCs w:val="15"/>
          <w:color w:val="auto"/>
        </w:rPr>
        <w:t>10</w:t>
      </w:r>
    </w:p>
    <w:p>
      <w:pPr>
        <w:spacing w:after="0" w:line="8" w:lineRule="exact"/>
        <w:rPr>
          <w:sz w:val="20"/>
          <w:szCs w:val="20"/>
          <w:color w:val="auto"/>
        </w:rPr>
      </w:pPr>
    </w:p>
    <w:p>
      <w:pPr>
        <w:jc w:val="both"/>
        <w:ind w:right="3019"/>
        <w:spacing w:after="0" w:line="251" w:lineRule="auto"/>
        <w:rPr>
          <w:sz w:val="20"/>
          <w:szCs w:val="20"/>
          <w:color w:val="auto"/>
        </w:rPr>
      </w:pPr>
      <w:r>
        <w:rPr>
          <w:rFonts w:ascii="Courier New" w:cs="Courier New" w:eastAsia="Courier New" w:hAnsi="Courier New"/>
          <w:sz w:val="15"/>
          <w:szCs w:val="15"/>
          <w:color w:val="auto"/>
        </w:rPr>
        <w:t>Company will reimburse the Initial Purchasers and the Holders selling Transfer Restricted Securities pursuant to the "Plan of Distribution" contained in the Shelf Registration Statement, for the reasonable fees and disbursements of not more than one counsel, who shall be Ropes &amp; Gray, unless another firm shall be chosen by the Holders of a majority in principal amount (number of shares, if applicable) of the Transfer Restricted Securities for whose benefit such Shelf Registration Statement is being prepared.</w:t>
      </w:r>
    </w:p>
    <w:p>
      <w:pPr>
        <w:spacing w:after="0" w:line="35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5"/>
          <w:szCs w:val="15"/>
          <w:color w:val="auto"/>
        </w:rPr>
        <w:t>INDEMNIFICATION</w:t>
      </w:r>
    </w:p>
    <w:p>
      <w:pPr>
        <w:spacing w:after="0" w:line="185" w:lineRule="exact"/>
        <w:rPr>
          <w:sz w:val="20"/>
          <w:szCs w:val="20"/>
          <w:color w:val="auto"/>
        </w:rPr>
      </w:pPr>
    </w:p>
    <w:p>
      <w:pPr>
        <w:ind w:right="2839" w:firstLine="1010"/>
        <w:spacing w:after="0" w:line="250" w:lineRule="auto"/>
        <w:tabs>
          <w:tab w:leader="none" w:pos="138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indemnify and hold harmless each Holder, its directors, its officers and each Person, if any, who controls such Holder (within the meaning of Section 15 of the Act and Section 20 of the Exchange Act), from and against any and all losses, claims, damages, liabilities, judgments, (including without limitation, any legal or other expenses incurred in connection with investigating or defending any matter, including any action that could give rise to any such losses, claims, damages, liabilities or judgments) caused by any untrue statement or alleged untrue statement of a material fact contained in any Shelf Registration Statement, preliminary prospectus or Prospectus (or any amendment or supplement thereto) provided by the Company to any Holder or any prospective purchaser of registered Notes or registered shares of Common Stock or caused by any omission or alleged omission to state therein a material fact required to be stated therein or necessary to make the statements therein not misleading, except insofar as such losses, claims, damages, liabilities or judgments are caused by an untrue statement or omission or alleged untrue statement or omission that is based upon information relating to any of the Holders furnished in writing to the Company by any of the Holders.</w:t>
      </w:r>
    </w:p>
    <w:p>
      <w:pPr>
        <w:spacing w:after="0" w:line="362" w:lineRule="exact"/>
        <w:rPr>
          <w:rFonts w:ascii="Courier New" w:cs="Courier New" w:eastAsia="Courier New" w:hAnsi="Courier New"/>
          <w:sz w:val="15"/>
          <w:szCs w:val="15"/>
          <w:color w:val="auto"/>
        </w:rPr>
      </w:pPr>
    </w:p>
    <w:p>
      <w:pPr>
        <w:ind w:right="2939" w:firstLine="1010"/>
        <w:spacing w:after="0" w:line="250" w:lineRule="auto"/>
        <w:tabs>
          <w:tab w:leader="none" w:pos="138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Transfer Restricted Securities agrees, severally and not jointly, to indemnify and hold harmless the Company and its directors and officers, and each person, if any, who controls (within the meaning of Section 15 of the Act or Section 20 of the Exchange Act) the Company, to the same extent as the foregoing indemnity from the Company set forth in Section 7(a) above, but only with reference to information relating to such Holder furnished in writing to the Company by such Holder expressly for use in any Registration Statement. In no event shall any Holder, its directors, its officers or any Person, if any, who controls such Holder be liable or responsible for any amount in excess of the amount by which the total amount received by such Holder with respect to its sale of Transfer Restricted Securities pursuant to a Shelf Registration Statement exceeds (i) the amount paid by such Holder for such Transfer Restricted Securities and (ii) the amount of any damages that such Holder, its directors, its officers or any Person, if any, who controls such Holder has otherwise been required to pay by reason of such untrue or alleged untrue statement or omission or alleged omission.</w:t>
      </w:r>
    </w:p>
    <w:p>
      <w:pPr>
        <w:spacing w:after="0" w:line="184" w:lineRule="exact"/>
        <w:rPr>
          <w:rFonts w:ascii="Courier New" w:cs="Courier New" w:eastAsia="Courier New" w:hAnsi="Courier New"/>
          <w:sz w:val="15"/>
          <w:szCs w:val="15"/>
          <w:color w:val="auto"/>
        </w:rPr>
      </w:pPr>
    </w:p>
    <w:p>
      <w:pPr>
        <w:ind w:right="2839" w:firstLine="1010"/>
        <w:spacing w:after="0" w:line="250" w:lineRule="auto"/>
        <w:tabs>
          <w:tab w:leader="none" w:pos="138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action shall be commenced involving any person in respect of which indemnity may be sought pursuant to Section 7(a) or 7(b) (the "INDEMNIFIED PARTY"), the indemnified party shall promptly notify the person against whom such indemnity may be sought (the "INDEMNIFYING PERSON") in writing and the indemnifying party shall assume the defense of such action, including the employment of counsel reasonably satisfactory to the indemnified party and the payment of all fees and expenses of such counsel, as incurred (except that in the case of any action in respect of which indemnity may be sought pursuant to both Sections 7(a) and 7(b), a Holder shall not be required to assume the defense of such action pursuant to this Section 7(c), but may employ separate counsel and participate in the defense thereof, but the fees and expenses of such counsel, except as provided below, shall be at the expense of the Holder). Any indemnified party shall have the right to employ separate counsel in any such action and participate in the defense thereof, but the fees and expenses of such counsel shall be at the expense of the indemnified party unless (i) the employment of such counsel shall have been specifically authorized in writing by the indemnifying party, (ii) the indemnifying party shall have failed to assume the defense of such action or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6"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11</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employ counsel reasonably satisfactory to the indemnified party or (iii) the named parties to any such action (including any impleaded parties) include both the indemnified party and the indemnifying party, and the indemnified party shall have been advised by such counsel that there may be one or more legal defenses available to it which are different from or additional to those available to the indemnifying party (in which case the indemnifying party shall not have the right to assume the defense of such action on behalf of the indemnified party). In any such case, the indemnifying party shall not, in connection with any one action or separate but substantially similar or related actions in the same jurisdiction arising out of the same general allegations or circumstances, be liable for the fees and expenses of more than one separate firm of attorneys (in addition to any local counsel) for all indemnified parties and all such fees and expenses shall be reimbursed as they are incurred. Such firm shall be designated in writing by a majority of the Holders, in the case of the parties indemnified pursuant to Section 7(a), and by the Company, in the case of parties indemnified pursuant to Section 7(b). The indemnifying party shall indemnify and hold harmless the indemnified party from and against any and all losses, claims, damages, liabilities and judgments by reason of any settlement of any action effected with its written consent. No indemnifying party shall, without the prior written consent of the indemnified party, effect any settlement or compromise of, or consent to the entry of judgment with respect to, any pending or threatened action in respect of which the indemnified party is or could have been a party and indemnity or contribution may be or could have been sought hereunder by the indemnified party, unless such settlement, compromise or judgment (i) includes an unconditional release of the indemnified party from all liability on claims that are or could have been the subject matter of such action and (ii) does not include a statement as to or an admission of fault, culpability or a failure to act, by or on behalf of the indemnified party.</w:t>
      </w:r>
    </w:p>
    <w:p>
      <w:pPr>
        <w:spacing w:after="0" w:line="367" w:lineRule="exact"/>
        <w:rPr>
          <w:sz w:val="20"/>
          <w:szCs w:val="20"/>
          <w:color w:val="auto"/>
        </w:rPr>
      </w:pPr>
    </w:p>
    <w:p>
      <w:pPr>
        <w:ind w:right="2839" w:firstLine="1010"/>
        <w:spacing w:after="0" w:line="250" w:lineRule="auto"/>
        <w:tabs>
          <w:tab w:leader="none" w:pos="1384"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indemnification provided for in this Section 7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or judgments (i) in such proportion as is appropriate to reflect the relative benefits received by the Company, on the one hand, and the Holders, on the other hand, from their sale of Transfer Restricted Securities or (ii) if the allocation provided by clause 7(d)(i) is not permitted by applicable law, in such proportion as is appropriate to reflect not only the relative benefits referred to in clause 7(d)(i) above but also the relative fault of the Company on the one hand, and of the Holders, on the other hand, in connection with the statements or omissions which resulted in such losses, claims, damages, liabilities or judgments, as well as any other relevant equitable considerations. The relative fault of the Company, on the one hand, and of the Holders, on the other hand, shall be determined by reference to, among other things, whether the untrue or alleged untrue statement of a material fact or the omission or alleged omission to state a material fact relates to information supplied by the Company, on the one hand, or by the Holders, on the other hand, and the parties' relative intent, knowledge, access to information and opportunity to correct or prevent such statement or omission.</w:t>
      </w:r>
    </w:p>
    <w:p>
      <w:pPr>
        <w:spacing w:after="0" w:line="187" w:lineRule="exact"/>
        <w:rPr>
          <w:sz w:val="20"/>
          <w:szCs w:val="20"/>
          <w:color w:val="auto"/>
        </w:rPr>
      </w:pPr>
    </w:p>
    <w:p>
      <w:pPr>
        <w:ind w:right="2839" w:firstLine="1015"/>
        <w:spacing w:after="0" w:line="250" w:lineRule="auto"/>
        <w:rPr>
          <w:sz w:val="20"/>
          <w:szCs w:val="20"/>
          <w:color w:val="auto"/>
        </w:rPr>
      </w:pPr>
      <w:r>
        <w:rPr>
          <w:rFonts w:ascii="Courier New" w:cs="Courier New" w:eastAsia="Courier New" w:hAnsi="Courier New"/>
          <w:sz w:val="15"/>
          <w:szCs w:val="15"/>
          <w:color w:val="auto"/>
        </w:rPr>
        <w:t>The Company and each Holder agree that it would not be just and equitable if contribution pursuant to this Section 7(d)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incurred by such indemnified party in connection with investigating or defending any matter, including any action that could have given rise to such losses, claims, damages, liabilities or judgments. Notwithstanding the provisions of this Section 7, no Holder or its related Indemnified Holders shall be required to contribute, in the aggregate, any amount in excess of the amount by which the total received by such Holder with respect to the sale of its Transfer Restricted Securities pursuant to a</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6"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5"/>
          <w:szCs w:val="15"/>
          <w:color w:val="auto"/>
        </w:rPr>
        <w:t>12</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Registration Statement exceeds (i) the amount paid by such Holder for such Transfer Restricted Securities and (ii) the amount of any damages which such Holder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Holders' obligations to contribute pursuant to this Section 7(d) are several in proportion to the respective principal amount of Transfer Restricted Securities held by each of the Holders hereunder and not joint.</w:t>
      </w:r>
    </w:p>
    <w:p>
      <w:pPr>
        <w:spacing w:after="0" w:line="35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5"/>
          <w:szCs w:val="15"/>
          <w:color w:val="auto"/>
        </w:rPr>
        <w:t>RULE 144A AND RULE 144</w:t>
      </w:r>
    </w:p>
    <w:p>
      <w:pPr>
        <w:spacing w:after="0" w:line="185" w:lineRule="exact"/>
        <w:rPr>
          <w:sz w:val="20"/>
          <w:szCs w:val="20"/>
          <w:color w:val="auto"/>
        </w:rPr>
      </w:pPr>
    </w:p>
    <w:p>
      <w:pPr>
        <w:ind w:right="2839" w:firstLine="1015"/>
        <w:spacing w:after="0" w:line="250" w:lineRule="auto"/>
        <w:rPr>
          <w:sz w:val="20"/>
          <w:szCs w:val="20"/>
          <w:color w:val="auto"/>
        </w:rPr>
      </w:pPr>
      <w:r>
        <w:rPr>
          <w:rFonts w:ascii="Courier New" w:cs="Courier New" w:eastAsia="Courier New" w:hAnsi="Courier New"/>
          <w:sz w:val="15"/>
          <w:szCs w:val="15"/>
          <w:color w:val="auto"/>
        </w:rPr>
        <w:t>The Company agrees with each Holder, for so long as any Transfer Restricted Securities remain outstanding and during any period in which the Company (i) is not subject to Section 13 or 15(d) of the Exchange Act, to make available, upon request of any Holder of Transfer Restricted Securities, to any Holder or beneficial owner of Transfer Restricted Securities in connection with any sale thereof and any prospective purchaser of Transfer Restricted Securities designated by such Holder or beneficial owner, the information required by Rule 144A(d)(4) under the Act in order to permit resales of such Transfer Restricted Securities pursuant to Rule 144A, and (ii) is subject to Section 13 or 15(d) of the Exchange Act, to make all filings required thereby in a timely manner in order to permit resales of such Transfer Restricted Securities pursuant to Rule 144.</w:t>
      </w:r>
    </w:p>
    <w:p>
      <w:pPr>
        <w:spacing w:after="0" w:line="36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5"/>
          <w:szCs w:val="15"/>
          <w:color w:val="auto"/>
        </w:rPr>
        <w:t>UNDERWRITTEN REGISTRATIONS</w:t>
      </w:r>
    </w:p>
    <w:p>
      <w:pPr>
        <w:spacing w:after="0" w:line="185" w:lineRule="exact"/>
        <w:rPr>
          <w:sz w:val="20"/>
          <w:szCs w:val="20"/>
          <w:color w:val="auto"/>
        </w:rPr>
      </w:pPr>
    </w:p>
    <w:p>
      <w:pPr>
        <w:ind w:right="2839" w:firstLine="1010"/>
        <w:spacing w:after="0" w:line="251" w:lineRule="auto"/>
        <w:tabs>
          <w:tab w:leader="none" w:pos="138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Transfer Restricted Securities covered by any Shelf Registration Statement are to be sold in an underwritten offering, the investment banker or investment bankers and manager or managers that will administer the offering will be selected by the Holders of a majority in amount of such Transfer Restricted Securities included in such offering, subject to the consent of the Company (which will not be unreasonably withheld or delayed).</w:t>
      </w:r>
    </w:p>
    <w:p>
      <w:pPr>
        <w:spacing w:after="0" w:line="176" w:lineRule="exact"/>
        <w:rPr>
          <w:sz w:val="20"/>
          <w:szCs w:val="20"/>
          <w:color w:val="auto"/>
        </w:rPr>
      </w:pPr>
    </w:p>
    <w:p>
      <w:pPr>
        <w:ind w:right="2939" w:firstLine="1015"/>
        <w:spacing w:after="0" w:line="251" w:lineRule="auto"/>
        <w:rPr>
          <w:sz w:val="20"/>
          <w:szCs w:val="20"/>
          <w:color w:val="auto"/>
        </w:rPr>
      </w:pPr>
      <w:r>
        <w:rPr>
          <w:rFonts w:ascii="Courier New" w:cs="Courier New" w:eastAsia="Courier New" w:hAnsi="Courier New"/>
          <w:sz w:val="15"/>
          <w:szCs w:val="15"/>
          <w:color w:val="auto"/>
        </w:rPr>
        <w:t>No Holder of Transfer Restricted Securities may participate in any underwritten registration hereunder unless such Holder (i) agrees to sell its Transfer Restricted Securities on the basis reasonably provided in any underwriting arrangements approved by the Persons entitled hereunder to approve such arrangements and (ii) completes and executes all questionnaires, powers of attorney, indemnities, underwriting agreements and other documents required under the terms of such underwriting arrangements.</w:t>
      </w:r>
    </w:p>
    <w:p>
      <w:pPr>
        <w:spacing w:after="0" w:line="176" w:lineRule="exact"/>
        <w:rPr>
          <w:sz w:val="20"/>
          <w:szCs w:val="20"/>
          <w:color w:val="auto"/>
        </w:rPr>
      </w:pPr>
    </w:p>
    <w:p>
      <w:pPr>
        <w:ind w:right="2839" w:firstLine="1010"/>
        <w:spacing w:after="0" w:line="250" w:lineRule="auto"/>
        <w:tabs>
          <w:tab w:leader="none" w:pos="1384"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Transfer Restricted Securities agrees, if requested (pursuant to a timely written notice) by the managing underwriters in an underwritten offering made pursuant to a Shelf Registration Statement, not to effect any private sale or distribution (including a sale pursuant to Rule 144(k) and Rule 144A, but excluding non-public sales to any of its affiliates, officers, directors, employees and controlling persons) of any of the Notes, in the case of an underwritten offering of the Notes, or the Common Stock, in the case of an underwritten offering of shares of Common Stock constituting Transfer Restricted Securities, during the period beginning not more than 20 days prior to, and ending 90 days after, the closing date of such underwritten offering.</w:t>
      </w:r>
    </w:p>
    <w:p>
      <w:pPr>
        <w:spacing w:after="0" w:line="182" w:lineRule="exact"/>
        <w:rPr>
          <w:sz w:val="20"/>
          <w:szCs w:val="20"/>
          <w:color w:val="auto"/>
        </w:rPr>
      </w:pPr>
    </w:p>
    <w:p>
      <w:pPr>
        <w:ind w:right="3399" w:firstLine="1015"/>
        <w:spacing w:after="0" w:line="252" w:lineRule="auto"/>
        <w:rPr>
          <w:sz w:val="20"/>
          <w:szCs w:val="20"/>
          <w:color w:val="auto"/>
        </w:rPr>
      </w:pPr>
      <w:r>
        <w:rPr>
          <w:rFonts w:ascii="Courier New" w:cs="Courier New" w:eastAsia="Courier New" w:hAnsi="Courier New"/>
          <w:sz w:val="15"/>
          <w:szCs w:val="15"/>
          <w:color w:val="auto"/>
        </w:rPr>
        <w:t>The foregoing provisions of Section 9(b) shall not apply to any Holder of Transfer Restricted Securities if such Holder is prevented by applicable statute or regulation from entering into any such agreement.</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6"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13</w:t>
      </w:r>
    </w:p>
    <w:p>
      <w:pPr>
        <w:spacing w:after="0" w:line="8" w:lineRule="exact"/>
        <w:rPr>
          <w:sz w:val="20"/>
          <w:szCs w:val="20"/>
          <w:color w:val="auto"/>
        </w:rPr>
      </w:pPr>
    </w:p>
    <w:p>
      <w:pPr>
        <w:ind w:right="2839" w:firstLine="1010"/>
        <w:spacing w:after="0" w:line="251" w:lineRule="auto"/>
        <w:tabs>
          <w:tab w:leader="none" w:pos="1384"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Transfer Restricted Securities covered by any Shelf Registration are to be sold in an underwritten offering, the underwriters, their controlling persons and their respective officers, directors, employees, representatives and agents shall be entitled to indemnity (substantially similar to the indemnity set forth in Section 7 of the Agreement) from the Company and the Holders, which indemnity may be set forth in an underwriting agreement.</w:t>
      </w:r>
    </w:p>
    <w:p>
      <w:pPr>
        <w:spacing w:after="0" w:line="35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5"/>
          <w:szCs w:val="15"/>
          <w:color w:val="auto"/>
        </w:rPr>
        <w:t>MISCELLANEOUS</w:t>
      </w:r>
    </w:p>
    <w:p>
      <w:pPr>
        <w:spacing w:after="0" w:line="185" w:lineRule="exact"/>
        <w:rPr>
          <w:sz w:val="20"/>
          <w:szCs w:val="20"/>
          <w:color w:val="auto"/>
        </w:rPr>
      </w:pPr>
    </w:p>
    <w:p>
      <w:pPr>
        <w:ind w:right="2839" w:firstLine="1010"/>
        <w:spacing w:after="0" w:line="250" w:lineRule="auto"/>
        <w:tabs>
          <w:tab w:leader="none" w:pos="138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The Company acknowledges and agrees that any failure by the Company to comply with its obligations under Section 3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 specifically enforce the Company's obligations under Section 3 hereof. The Company further agrees to waive the defense in any action for specific performance that a remedy at law would be adequate. Other than the equitable remedy of specific enforcement, the sole damages payable for a violation of the terms of this Agreement for which Special Interest is expressly provided in Section 2 of the Notes shall be such Special Interest.</w:t>
      </w:r>
    </w:p>
    <w:p>
      <w:pPr>
        <w:spacing w:after="0" w:line="182" w:lineRule="exact"/>
        <w:rPr>
          <w:rFonts w:ascii="Courier New" w:cs="Courier New" w:eastAsia="Courier New" w:hAnsi="Courier New"/>
          <w:sz w:val="15"/>
          <w:szCs w:val="15"/>
          <w:color w:val="auto"/>
        </w:rPr>
      </w:pPr>
    </w:p>
    <w:p>
      <w:pPr>
        <w:ind w:right="2839" w:firstLine="1010"/>
        <w:spacing w:after="0" w:line="250" w:lineRule="auto"/>
        <w:tabs>
          <w:tab w:leader="none" w:pos="138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Inconsistent Agreements. The Company will not, on or after the date of this Agreement, enter into any agreement with respect to its securities that is inconsistent with the rights granted to the Holders in this Agreement or otherwise conflicts with the provisions hereof. Except pursuant to the agreements listed on Annex A, the Company has not previously entered into any agreement (which has not expired or been terminated) granting any registration rights with respect to its securities to any Person. The rights granted to the Holders hereunder do not in any way conflict with and are not inconsistent with the rights granted to the holders of the Company's securities under any agreement in effect on the date hereof that has not been waived.</w:t>
      </w:r>
    </w:p>
    <w:p>
      <w:pPr>
        <w:spacing w:after="0" w:line="181" w:lineRule="exact"/>
        <w:rPr>
          <w:rFonts w:ascii="Courier New" w:cs="Courier New" w:eastAsia="Courier New" w:hAnsi="Courier New"/>
          <w:sz w:val="15"/>
          <w:szCs w:val="15"/>
          <w:color w:val="auto"/>
        </w:rPr>
      </w:pPr>
    </w:p>
    <w:p>
      <w:pPr>
        <w:ind w:right="2939" w:firstLine="1010"/>
        <w:spacing w:after="0" w:line="251" w:lineRule="auto"/>
        <w:tabs>
          <w:tab w:leader="none" w:pos="138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Piggybacks on Shelf Registration Statement. The Company shall not grant to any of its security holders (other than the holders of Transfer Restricted Securities in such capacity) the right to include any of its securities in any Shelf Registration Statement provided for in this Agreement other than the Transfer Restricted Securities.</w:t>
      </w:r>
    </w:p>
    <w:p>
      <w:pPr>
        <w:spacing w:after="0" w:line="176" w:lineRule="exact"/>
        <w:rPr>
          <w:rFonts w:ascii="Courier New" w:cs="Courier New" w:eastAsia="Courier New" w:hAnsi="Courier New"/>
          <w:sz w:val="15"/>
          <w:szCs w:val="15"/>
          <w:color w:val="auto"/>
        </w:rPr>
      </w:pPr>
    </w:p>
    <w:p>
      <w:pPr>
        <w:ind w:right="2839" w:firstLine="1010"/>
        <w:spacing w:after="0" w:line="251" w:lineRule="auto"/>
        <w:tabs>
          <w:tab w:leader="none" w:pos="138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Waivers. The provisions of this Agreement may not be amended, modified or supplemented, and waivers or consents to or departures from the provisions hereof may not be given unless (I) in the case of this Section 10(d)(I), the Company has obtained the written consent of all outstanding Transfer Restricted Securities and (II) in the case of all other provisions hereof, the Company has obtained the written consent of Holders of a majority of the outstanding principal amount (and shares, if applicable) of Transfer Restricted Securities (excluding Transfer Restricted Securities held by the Company or its Affiliates).</w:t>
      </w:r>
    </w:p>
    <w:p>
      <w:pPr>
        <w:spacing w:after="0" w:line="175" w:lineRule="exact"/>
        <w:rPr>
          <w:rFonts w:ascii="Courier New" w:cs="Courier New" w:eastAsia="Courier New" w:hAnsi="Courier New"/>
          <w:sz w:val="15"/>
          <w:szCs w:val="15"/>
          <w:color w:val="auto"/>
        </w:rPr>
      </w:pPr>
    </w:p>
    <w:p>
      <w:pPr>
        <w:ind w:right="2839" w:firstLine="1010"/>
        <w:spacing w:after="0" w:line="251" w:lineRule="auto"/>
        <w:tabs>
          <w:tab w:leader="none" w:pos="138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Beneficiary. The Holders shall be third party beneficiaries to the agreements made hereunder between the Company, on the one hand, and the Initial Purchasers, on the other hand, and shall have the right to enforce such agreements directly to the extent they may deem such enforcement necessary or advisable to protect its rights or the rights of Holders hereunder.</w:t>
      </w:r>
    </w:p>
    <w:p>
      <w:pPr>
        <w:spacing w:after="0" w:line="176" w:lineRule="exact"/>
        <w:rPr>
          <w:rFonts w:ascii="Courier New" w:cs="Courier New" w:eastAsia="Courier New" w:hAnsi="Courier New"/>
          <w:sz w:val="15"/>
          <w:szCs w:val="15"/>
          <w:color w:val="auto"/>
        </w:rPr>
      </w:pPr>
    </w:p>
    <w:p>
      <w:pPr>
        <w:ind w:right="2939" w:firstLine="1010"/>
        <w:spacing w:after="0" w:line="251" w:lineRule="auto"/>
        <w:tabs>
          <w:tab w:leader="none" w:pos="138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provided for or permitted hereunder shall be made in writing by hand-delivery, first-class mail (registered or certified, return receipt requested), telex, telecopier, or air courier guaranteeing overnight delivery:</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6"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5"/>
          <w:szCs w:val="15"/>
          <w:color w:val="auto"/>
        </w:rPr>
        <w:t>14</w:t>
      </w:r>
    </w:p>
    <w:p>
      <w:pPr>
        <w:spacing w:after="0" w:line="8" w:lineRule="exact"/>
        <w:rPr>
          <w:sz w:val="20"/>
          <w:szCs w:val="20"/>
          <w:color w:val="auto"/>
        </w:rPr>
      </w:pPr>
    </w:p>
    <w:p>
      <w:pPr>
        <w:ind w:left="540" w:right="2939" w:firstLine="931"/>
        <w:spacing w:after="0" w:line="252" w:lineRule="auto"/>
        <w:tabs>
          <w:tab w:leader="none" w:pos="183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 Holder, at the address set forth on the records of the Registrar under the Indenture, with a copy to the Registrar under the Indenture; and</w:t>
      </w:r>
    </w:p>
    <w:p>
      <w:pPr>
        <w:spacing w:after="0" w:line="174" w:lineRule="exact"/>
        <w:rPr>
          <w:rFonts w:ascii="Courier New" w:cs="Courier New" w:eastAsia="Courier New" w:hAnsi="Courier New"/>
          <w:sz w:val="15"/>
          <w:szCs w:val="15"/>
          <w:color w:val="auto"/>
        </w:rPr>
      </w:pPr>
    </w:p>
    <w:p>
      <w:pPr>
        <w:ind w:left="1940" w:hanging="469"/>
        <w:spacing w:after="0"/>
        <w:tabs>
          <w:tab w:leader="none" w:pos="19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Akamai Technologies, Inc.</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500 Technology Square</w:t>
      </w:r>
    </w:p>
    <w:p>
      <w:pPr>
        <w:spacing w:after="0" w:line="8" w:lineRule="exact"/>
        <w:rPr>
          <w:sz w:val="20"/>
          <w:szCs w:val="20"/>
          <w:color w:val="auto"/>
        </w:rPr>
      </w:pPr>
    </w:p>
    <w:p>
      <w:pPr>
        <w:ind w:left="2020"/>
        <w:spacing w:after="0"/>
        <w:tabs>
          <w:tab w:leader="none" w:pos="3380" w:val="left"/>
        </w:tabs>
        <w:rPr>
          <w:sz w:val="20"/>
          <w:szCs w:val="20"/>
          <w:color w:val="auto"/>
        </w:rPr>
      </w:pPr>
      <w:r>
        <w:rPr>
          <w:rFonts w:ascii="Courier New" w:cs="Courier New" w:eastAsia="Courier New" w:hAnsi="Courier New"/>
          <w:sz w:val="15"/>
          <w:szCs w:val="15"/>
          <w:color w:val="auto"/>
        </w:rPr>
        <w:t>Cambridge, MA</w:t>
        <w:tab/>
        <w:t>02139</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Telecopier No.:</w:t>
      </w:r>
    </w:p>
    <w:p>
      <w:pPr>
        <w:spacing w:after="0" w:line="8" w:lineRule="exact"/>
        <w:rPr>
          <w:sz w:val="20"/>
          <w:szCs w:val="20"/>
          <w:color w:val="auto"/>
        </w:rPr>
      </w:pPr>
    </w:p>
    <w:p>
      <w:pPr>
        <w:ind w:left="2020"/>
        <w:spacing w:after="0"/>
        <w:tabs>
          <w:tab w:leader="none" w:pos="312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With a copy to:</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Hale and Dorr LLP</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60 State Street</w:t>
      </w:r>
    </w:p>
    <w:p>
      <w:pPr>
        <w:spacing w:after="0" w:line="8" w:lineRule="exact"/>
        <w:rPr>
          <w:sz w:val="20"/>
          <w:szCs w:val="20"/>
          <w:color w:val="auto"/>
        </w:rPr>
      </w:pPr>
    </w:p>
    <w:p>
      <w:pPr>
        <w:ind w:left="2020"/>
        <w:spacing w:after="0"/>
        <w:tabs>
          <w:tab w:leader="none" w:pos="3120" w:val="left"/>
        </w:tabs>
        <w:rPr>
          <w:sz w:val="20"/>
          <w:szCs w:val="20"/>
          <w:color w:val="auto"/>
        </w:rPr>
      </w:pPr>
      <w:r>
        <w:rPr>
          <w:rFonts w:ascii="Courier New" w:cs="Courier New" w:eastAsia="Courier New" w:hAnsi="Courier New"/>
          <w:sz w:val="15"/>
          <w:szCs w:val="15"/>
          <w:color w:val="auto"/>
        </w:rPr>
        <w:t>Boston, MA</w:t>
        <w:tab/>
        <w:t>02109</w:t>
      </w:r>
    </w:p>
    <w:p>
      <w:pPr>
        <w:spacing w:after="0" w:line="185" w:lineRule="exact"/>
        <w:rPr>
          <w:sz w:val="20"/>
          <w:szCs w:val="20"/>
          <w:color w:val="auto"/>
        </w:rPr>
      </w:pPr>
    </w:p>
    <w:p>
      <w:pPr>
        <w:ind w:left="2020"/>
        <w:spacing w:after="0"/>
        <w:tabs>
          <w:tab w:leader="none" w:pos="3580" w:val="left"/>
        </w:tabs>
        <w:rPr>
          <w:sz w:val="20"/>
          <w:szCs w:val="20"/>
          <w:color w:val="auto"/>
        </w:rPr>
      </w:pPr>
      <w:r>
        <w:rPr>
          <w:rFonts w:ascii="Courier New" w:cs="Courier New" w:eastAsia="Courier New" w:hAnsi="Courier New"/>
          <w:sz w:val="15"/>
          <w:szCs w:val="15"/>
          <w:color w:val="auto"/>
        </w:rPr>
        <w:t>Telecopier No.:</w:t>
        <w:tab/>
        <w:t>617-526-5000</w:t>
      </w:r>
    </w:p>
    <w:p>
      <w:pPr>
        <w:spacing w:after="0" w:line="8" w:lineRule="exact"/>
        <w:rPr>
          <w:sz w:val="20"/>
          <w:szCs w:val="20"/>
          <w:color w:val="auto"/>
        </w:rPr>
      </w:pPr>
    </w:p>
    <w:p>
      <w:pPr>
        <w:ind w:left="2020"/>
        <w:spacing w:after="0"/>
        <w:tabs>
          <w:tab w:leader="none" w:pos="3120" w:val="left"/>
        </w:tabs>
        <w:rPr>
          <w:sz w:val="20"/>
          <w:szCs w:val="20"/>
          <w:color w:val="auto"/>
        </w:rPr>
      </w:pPr>
      <w:r>
        <w:rPr>
          <w:rFonts w:ascii="Courier New" w:cs="Courier New" w:eastAsia="Courier New" w:hAnsi="Courier New"/>
          <w:sz w:val="15"/>
          <w:szCs w:val="15"/>
          <w:color w:val="auto"/>
        </w:rPr>
        <w:t>Attention:</w:t>
        <w:tab/>
        <w:t>John Chory/Susan Murley</w:t>
      </w:r>
    </w:p>
    <w:p>
      <w:pPr>
        <w:spacing w:after="0" w:line="185" w:lineRule="exact"/>
        <w:rPr>
          <w:sz w:val="20"/>
          <w:szCs w:val="20"/>
          <w:color w:val="auto"/>
        </w:rPr>
      </w:pPr>
    </w:p>
    <w:p>
      <w:pPr>
        <w:ind w:right="2839" w:firstLine="1015"/>
        <w:spacing w:after="0" w:line="251" w:lineRule="auto"/>
        <w:rPr>
          <w:sz w:val="20"/>
          <w:szCs w:val="20"/>
          <w:color w:val="auto"/>
        </w:rPr>
      </w:pPr>
      <w:r>
        <w:rPr>
          <w:rFonts w:ascii="Courier New" w:cs="Courier New" w:eastAsia="Courier New" w:hAnsi="Courier New"/>
          <w:sz w:val="15"/>
          <w:szCs w:val="15"/>
          <w:color w:val="auto"/>
        </w:rPr>
        <w:t>All such notices and communications shall be deemed to have been duly given: at the time delivered by hand, if personally delivered; five Business Days after being deposited in the mail, postage prepaid, if mailed; when receipt acknowledged, if telecopied; and on the next business day, if timely delivered to an air courier guaranteeing overnight delivery.</w:t>
      </w:r>
    </w:p>
    <w:p>
      <w:pPr>
        <w:spacing w:after="0" w:line="176" w:lineRule="exact"/>
        <w:rPr>
          <w:sz w:val="20"/>
          <w:szCs w:val="20"/>
          <w:color w:val="auto"/>
        </w:rPr>
      </w:pPr>
    </w:p>
    <w:p>
      <w:pPr>
        <w:ind w:right="2939" w:firstLine="1015"/>
        <w:spacing w:after="0" w:line="252" w:lineRule="auto"/>
        <w:rPr>
          <w:sz w:val="20"/>
          <w:szCs w:val="20"/>
          <w:color w:val="auto"/>
        </w:rPr>
      </w:pPr>
      <w:r>
        <w:rPr>
          <w:rFonts w:ascii="Courier New" w:cs="Courier New" w:eastAsia="Courier New" w:hAnsi="Courier New"/>
          <w:sz w:val="15"/>
          <w:szCs w:val="15"/>
          <w:color w:val="auto"/>
        </w:rPr>
        <w:t>Copies of all such notices, demands or other communications shall be concurrently delivered by the Person giving the same to the Trustee at the address specified in the Indenture.</w:t>
      </w:r>
    </w:p>
    <w:p>
      <w:pPr>
        <w:spacing w:after="0" w:line="175" w:lineRule="exact"/>
        <w:rPr>
          <w:sz w:val="20"/>
          <w:szCs w:val="20"/>
          <w:color w:val="auto"/>
        </w:rPr>
      </w:pPr>
    </w:p>
    <w:p>
      <w:pPr>
        <w:ind w:right="2839" w:firstLine="1010"/>
        <w:spacing w:after="0" w:line="250" w:lineRule="auto"/>
        <w:tabs>
          <w:tab w:leader="none" w:pos="1384"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inure to the benefit of and be binding upon the successors and assigns of each of the parties, including, without limitation and without the need for an express assignment, subsequent Holders of Transfer Restricted Securities; provided, that nothing herein shall be deemed to permit any assignment, transfer or other disposition of Transfer Restricted Securities in violation of the terms hereof or of the Purchase Agreement or the Indenture. If any transferee of any Holder shall acquire Transfer Restricted Securities in any manner, whether by operation of law or otherwise, such Transfer Restricted Securities shall be held subject to all of the terms of this Agreement, and by taking and holding such Transfer Restricted Securities such Person shall be conclusively deemed to have agreed to be bound by and to perform all of the terms and provisions of this Agreement, including the restrictions on resale set forth in this Agreement and, if applicable, the Purchase Agreement, and such Person shall be entitled to receive the benefits hereof.</w:t>
      </w:r>
    </w:p>
    <w:p>
      <w:pPr>
        <w:spacing w:after="0" w:line="184" w:lineRule="exact"/>
        <w:rPr>
          <w:rFonts w:ascii="Courier New" w:cs="Courier New" w:eastAsia="Courier New" w:hAnsi="Courier New"/>
          <w:sz w:val="15"/>
          <w:szCs w:val="15"/>
          <w:color w:val="auto"/>
        </w:rPr>
      </w:pPr>
    </w:p>
    <w:p>
      <w:pPr>
        <w:ind w:right="3019" w:firstLine="1010"/>
        <w:spacing w:after="0" w:line="251" w:lineRule="auto"/>
        <w:tabs>
          <w:tab w:leader="none" w:pos="1384"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76" w:lineRule="exact"/>
        <w:rPr>
          <w:rFonts w:ascii="Courier New" w:cs="Courier New" w:eastAsia="Courier New" w:hAnsi="Courier New"/>
          <w:sz w:val="15"/>
          <w:szCs w:val="15"/>
          <w:color w:val="auto"/>
        </w:rPr>
      </w:pPr>
    </w:p>
    <w:p>
      <w:pPr>
        <w:ind w:right="3019" w:firstLine="1010"/>
        <w:spacing w:after="0" w:line="253" w:lineRule="auto"/>
        <w:tabs>
          <w:tab w:leader="none" w:pos="1384"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in this Agreement are for convenience of reference only and shall not limit or otherwise affect the meaning hereof.</w:t>
      </w:r>
    </w:p>
    <w:p>
      <w:pPr>
        <w:spacing w:after="0" w:line="174" w:lineRule="exact"/>
        <w:rPr>
          <w:rFonts w:ascii="Courier New" w:cs="Courier New" w:eastAsia="Courier New" w:hAnsi="Courier New"/>
          <w:sz w:val="15"/>
          <w:szCs w:val="15"/>
          <w:color w:val="auto"/>
        </w:rPr>
      </w:pPr>
    </w:p>
    <w:p>
      <w:pPr>
        <w:ind w:right="2939" w:firstLine="1010"/>
        <w:spacing w:after="0" w:line="253" w:lineRule="auto"/>
        <w:tabs>
          <w:tab w:leader="none" w:pos="1384"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NEW YORK, WITHOUT REGARD TO</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5"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5"/>
          <w:szCs w:val="15"/>
          <w:color w:val="auto"/>
        </w:rPr>
        <w:t>15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CONFLICT OF LAW RULES THEREOF.</w:t>
      </w:r>
    </w:p>
    <w:p>
      <w:pPr>
        <w:spacing w:after="0" w:line="185" w:lineRule="exact"/>
        <w:rPr>
          <w:sz w:val="20"/>
          <w:szCs w:val="20"/>
          <w:color w:val="auto"/>
        </w:rPr>
      </w:pPr>
    </w:p>
    <w:p>
      <w:pPr>
        <w:ind w:right="2839" w:firstLine="1010"/>
        <w:spacing w:after="0" w:line="251" w:lineRule="auto"/>
        <w:tabs>
          <w:tab w:leader="none" w:pos="138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76" w:lineRule="exact"/>
        <w:rPr>
          <w:rFonts w:ascii="Courier New" w:cs="Courier New" w:eastAsia="Courier New" w:hAnsi="Courier New"/>
          <w:sz w:val="15"/>
          <w:szCs w:val="15"/>
          <w:color w:val="auto"/>
        </w:rPr>
      </w:pPr>
    </w:p>
    <w:p>
      <w:pPr>
        <w:ind w:right="2839" w:firstLine="1010"/>
        <w:spacing w:after="0" w:line="251" w:lineRule="auto"/>
        <w:tabs>
          <w:tab w:leader="none" w:pos="138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with respect to the Transfer Restricted Securities. This Agreement supersedes all prior agreements and understandings between the parties with respect to such subject matter.</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5"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5"/>
          <w:szCs w:val="15"/>
          <w:color w:val="auto"/>
        </w:rPr>
        <w:t>16</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remainder of this page has been intentionally left blank)</w:t>
      </w:r>
    </w:p>
    <w:p>
      <w:pPr>
        <w:spacing w:after="0" w:line="36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39"/>
          </w:cols>
          <w:pgMar w:left="520" w:top="296"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5"/>
          <w:szCs w:val="15"/>
          <w:color w:val="auto"/>
        </w:rPr>
        <w:t>17</w:t>
      </w:r>
    </w:p>
    <w:p>
      <w:pPr>
        <w:spacing w:after="0" w:line="8" w:lineRule="exact"/>
        <w:rPr>
          <w:sz w:val="20"/>
          <w:szCs w:val="20"/>
          <w:color w:val="auto"/>
        </w:rPr>
      </w:pPr>
    </w:p>
    <w:p>
      <w:pPr>
        <w:ind w:right="3399" w:firstLine="1015"/>
        <w:spacing w:after="0" w:line="253" w:lineRule="auto"/>
        <w:rPr>
          <w:sz w:val="20"/>
          <w:szCs w:val="20"/>
          <w:color w:val="auto"/>
        </w:rPr>
      </w:pPr>
      <w:r>
        <w:rPr>
          <w:rFonts w:ascii="Courier New" w:cs="Courier New" w:eastAsia="Courier New" w:hAnsi="Courier New"/>
          <w:sz w:val="15"/>
          <w:szCs w:val="15"/>
          <w:color w:val="auto"/>
        </w:rPr>
        <w:t>IN WITNESS WHEREOF, the parties have executed this Registration Rights Agreement as of the date first written above.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AKAMAI TECHNOLOGIES, INC.</w:t>
      </w:r>
    </w:p>
    <w:p>
      <w:pPr>
        <w:spacing w:after="0" w:line="200" w:lineRule="exact"/>
        <w:rPr>
          <w:sz w:val="20"/>
          <w:szCs w:val="20"/>
          <w:color w:val="auto"/>
        </w:rPr>
      </w:pP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96" w:right="1440" w:bottom="1440" w:gutter="0" w:footer="0" w:header="0"/>
        </w:sectPr>
      </w:pPr>
    </w:p>
    <w:bookmarkStart w:id="193" w:name="page194"/>
    <w:bookmarkEnd w:id="193"/>
    <w:p>
      <w:pPr>
        <w:ind w:left="280"/>
        <w:spacing w:after="0"/>
        <w:rPr>
          <w:sz w:val="20"/>
          <w:szCs w:val="20"/>
          <w:color w:val="auto"/>
        </w:rPr>
      </w:pPr>
      <w:r>
        <w:rPr>
          <w:rFonts w:ascii="Courier New" w:cs="Courier New" w:eastAsia="Courier New" w:hAnsi="Courier New"/>
          <w:sz w:val="15"/>
          <w:szCs w:val="15"/>
          <w:color w:val="auto"/>
        </w:rPr>
        <w:t>18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DONALDSON, LUFKIN &amp; JENRETTE SECURITIES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SALOMON SMITH BARNEY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WEISEL PARTNERS, LLC</w:t>
      </w:r>
    </w:p>
    <w:p>
      <w:pPr>
        <w:spacing w:after="0" w:line="18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By:</w:t>
        <w:tab/>
        <w:t>DONALDSON, LUFKIN &amp; JENRETTE SECURITIES CORPORATION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w:t>
      </w:r>
    </w:p>
    <w:p>
      <w:pPr>
        <w:spacing w:after="0" w:line="18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By:</w:t>
        <w:tab/>
        <w:t>MORGAN STANLEY &amp; CO. INCORPORATED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95"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5"/>
          <w:szCs w:val="15"/>
          <w:color w:val="auto"/>
        </w:rPr>
        <w:t>19</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ANNEX A</w:t>
      </w:r>
    </w:p>
    <w:p>
      <w:pPr>
        <w:spacing w:after="0" w:line="362"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AGREEMENTS AS TO REGISTRATION RIGHTS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Fourth Amended and Restated Registration Rights Agreement</w:t>
      </w:r>
    </w:p>
    <w:p>
      <w:pPr>
        <w:spacing w:after="0" w:line="185" w:lineRule="exact"/>
        <w:rPr>
          <w:sz w:val="20"/>
          <w:szCs w:val="20"/>
          <w:color w:val="auto"/>
        </w:rPr>
      </w:pPr>
    </w:p>
    <w:p>
      <w:pPr>
        <w:ind w:right="3679"/>
        <w:spacing w:after="0" w:line="253" w:lineRule="auto"/>
        <w:rPr>
          <w:sz w:val="20"/>
          <w:szCs w:val="20"/>
          <w:color w:val="auto"/>
        </w:rPr>
      </w:pPr>
      <w:r>
        <w:rPr>
          <w:rFonts w:ascii="Courier New" w:cs="Courier New" w:eastAsia="Courier New" w:hAnsi="Courier New"/>
          <w:sz w:val="15"/>
          <w:szCs w:val="15"/>
          <w:color w:val="auto"/>
        </w:rPr>
        <w:t>INTERVU Inc. and Josephthal &amp; Co. Inc. and Cruttenden Roth Incorporated Advisors' Warrant Agreement Dated as of June 18, 1998</w:t>
      </w:r>
    </w:p>
    <w:p>
      <w:pPr>
        <w:spacing w:after="0" w:line="174" w:lineRule="exact"/>
        <w:rPr>
          <w:sz w:val="20"/>
          <w:szCs w:val="20"/>
          <w:color w:val="auto"/>
        </w:rPr>
      </w:pPr>
    </w:p>
    <w:p>
      <w:pPr>
        <w:ind w:right="3579"/>
        <w:spacing w:after="0" w:line="253" w:lineRule="auto"/>
        <w:rPr>
          <w:sz w:val="20"/>
          <w:szCs w:val="20"/>
          <w:color w:val="auto"/>
        </w:rPr>
      </w:pPr>
      <w:r>
        <w:rPr>
          <w:rFonts w:ascii="Courier New" w:cs="Courier New" w:eastAsia="Courier New" w:hAnsi="Courier New"/>
          <w:sz w:val="15"/>
          <w:szCs w:val="15"/>
          <w:color w:val="auto"/>
        </w:rPr>
        <w:t>INTERVU Inc. and Josephthal Lyon &amp; Ross Incorporated and Cruttenden Roth Incorporated Advisors' Warrant Agreement Dated as of November 19, 1997</w:t>
      </w:r>
    </w:p>
    <w:p>
      <w:pPr>
        <w:spacing w:after="0" w:line="174"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Declaration of Registration Rights, dated as of January 24, 2000, by and between Akamai Technologies, Inc. and Network24 Communications, Inc.</w:t>
      </w:r>
    </w:p>
    <w:sectPr>
      <w:pgSz w:w="11900" w:h="16838" w:orient="portrait"/>
      <w:cols w:equalWidth="0" w:num="1">
        <w:col w:w="10219"/>
      </w:cols>
      <w:pgMar w:left="240" w:top="2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E17E33"/>
    <w:multiLevelType w:val="hybridMultilevel"/>
    <w:lvl w:ilvl="0">
      <w:lvlJc w:val="left"/>
      <w:lvlText w:val="&amp;"/>
      <w:numFmt w:val="bullet"/>
      <w:start w:val="1"/>
    </w:lvl>
  </w:abstractNum>
  <w:abstractNum w:abstractNumId="1">
    <w:nsid w:val="3222E7CD"/>
    <w:multiLevelType w:val="hybridMultilevel"/>
    <w:lvl w:ilvl="0">
      <w:lvlJc w:val="left"/>
      <w:lvlText w:val="(%1)"/>
      <w:numFmt w:val="lowerLetter"/>
      <w:start w:val="1"/>
    </w:lvl>
  </w:abstractNum>
  <w:abstractNum w:abstractNumId="2">
    <w:nsid w:val="74DE0EE3"/>
    <w:multiLevelType w:val="hybridMultilevel"/>
    <w:lvl w:ilvl="0">
      <w:lvlJc w:val="left"/>
      <w:lvlText w:val="%1."/>
      <w:numFmt w:val="decimal"/>
      <w:start w:val="1"/>
    </w:lvl>
  </w:abstractNum>
  <w:abstractNum w:abstractNumId="3">
    <w:nsid w:val="68EBC550"/>
    <w:multiLevelType w:val="hybridMultilevel"/>
    <w:lvl w:ilvl="0">
      <w:lvlJc w:val="left"/>
      <w:lvlText w:val="(%1)"/>
      <w:numFmt w:val="decimal"/>
      <w:start w:val="1"/>
    </w:lvl>
  </w:abstractNum>
  <w:abstractNum w:abstractNumId="4">
    <w:nsid w:val="2DF6D648"/>
    <w:multiLevelType w:val="hybridMultilevel"/>
    <w:lvl w:ilvl="0">
      <w:lvlJc w:val="left"/>
      <w:lvlText w:val="%1."/>
      <w:numFmt w:val="decimal"/>
      <w:start w:val="2"/>
    </w:lvl>
    <w:lvl w:ilvl="1">
      <w:lvlJc w:val="left"/>
      <w:lvlText w:val="(%2)"/>
      <w:numFmt w:val="lowerLetter"/>
      <w:start w:val="1"/>
    </w:lvl>
  </w:abstractNum>
  <w:abstractNum w:abstractNumId="5">
    <w:nsid w:val="46B7D447"/>
    <w:multiLevelType w:val="hybridMultilevel"/>
    <w:lvl w:ilvl="0">
      <w:lvlJc w:val="left"/>
      <w:lvlText w:val="%1."/>
      <w:numFmt w:val="decimal"/>
      <w:start w:val="4"/>
    </w:lvl>
    <w:lvl w:ilvl="1">
      <w:lvlJc w:val="left"/>
      <w:lvlText w:val="(%2)"/>
      <w:numFmt w:val="lowerLetter"/>
      <w:start w:val="1"/>
    </w:lvl>
  </w:abstractNum>
  <w:abstractNum w:abstractNumId="6">
    <w:nsid w:val="4A2AC315"/>
    <w:multiLevelType w:val="hybridMultilevel"/>
    <w:lvl w:ilvl="0">
      <w:lvlJc w:val="left"/>
      <w:lvlText w:val="(%1)"/>
      <w:numFmt w:val="lowerLetter"/>
      <w:start w:val="2"/>
    </w:lvl>
  </w:abstractNum>
  <w:abstractNum w:abstractNumId="7">
    <w:nsid w:val="39EE015C"/>
    <w:multiLevelType w:val="hybridMultilevel"/>
    <w:lvl w:ilvl="0">
      <w:lvlJc w:val="left"/>
      <w:lvlText w:val="(%1)"/>
      <w:numFmt w:val="lowerLetter"/>
      <w:start w:val="7"/>
    </w:lvl>
  </w:abstractNum>
  <w:abstractNum w:abstractNumId="8">
    <w:nsid w:val="57FC4FBB"/>
    <w:multiLevelType w:val="hybridMultilevel"/>
    <w:lvl w:ilvl="0">
      <w:lvlJc w:val="left"/>
      <w:lvlText w:val="%1"/>
      <w:numFmt w:val="lowerLetter"/>
      <w:start w:val="1"/>
    </w:lvl>
    <w:lvl w:ilvl="1">
      <w:lvlJc w:val="left"/>
      <w:lvlText w:val="(%2)"/>
      <w:numFmt w:val="lowerLetter"/>
      <w:start w:val="11"/>
    </w:lvl>
  </w:abstractNum>
  <w:abstractNum w:abstractNumId="9">
    <w:nsid w:val="CC1016F"/>
    <w:multiLevelType w:val="hybridMultilevel"/>
    <w:lvl w:ilvl="0">
      <w:lvlJc w:val="left"/>
      <w:lvlText w:val="(%1)"/>
      <w:numFmt w:val="lowerLetter"/>
      <w:start w:val="9"/>
    </w:lvl>
    <w:lvl w:ilvl="1">
      <w:lvlJc w:val="left"/>
      <w:lvlText w:val="(%2)"/>
      <w:numFmt w:val="lowerLetter"/>
      <w:start w:val="14"/>
    </w:lvl>
  </w:abstractNum>
  <w:abstractNum w:abstractNumId="10">
    <w:nsid w:val="43F18422"/>
    <w:multiLevelType w:val="hybridMultilevel"/>
    <w:lvl w:ilvl="0">
      <w:lvlJc w:val="left"/>
      <w:lvlText w:val="%1"/>
      <w:numFmt w:val="decimal"/>
      <w:start w:val="1"/>
    </w:lvl>
    <w:lvl w:ilvl="1">
      <w:lvlJc w:val="left"/>
      <w:lvlText w:val="(%2)"/>
      <w:numFmt w:val="lowerLetter"/>
      <w:start w:val="15"/>
    </w:lvl>
  </w:abstractNum>
  <w:abstractNum w:abstractNumId="11">
    <w:nsid w:val="60EF0119"/>
    <w:multiLevelType w:val="hybridMultilevel"/>
    <w:lvl w:ilvl="0">
      <w:lvlJc w:val="left"/>
      <w:lvlText w:val="%1."/>
      <w:numFmt w:val="decimal"/>
      <w:start w:val="6"/>
    </w:lvl>
    <w:lvl w:ilvl="1">
      <w:lvlJc w:val="left"/>
      <w:lvlText w:val="(%2)"/>
      <w:numFmt w:val="lowerLetter"/>
      <w:start w:val="1"/>
    </w:lvl>
  </w:abstractNum>
  <w:abstractNum w:abstractNumId="12">
    <w:nsid w:val="26F324BA"/>
    <w:multiLevelType w:val="hybridMultilevel"/>
    <w:lvl w:ilvl="0">
      <w:lvlJc w:val="left"/>
      <w:lvlText w:val="%1"/>
      <w:numFmt w:val="lowerLetter"/>
      <w:start w:val="1"/>
    </w:lvl>
    <w:lvl w:ilvl="1">
      <w:lvlJc w:val="left"/>
      <w:lvlText w:val="(%2)"/>
      <w:numFmt w:val="lowerLetter"/>
      <w:start w:val="6"/>
    </w:lvl>
  </w:abstractNum>
  <w:abstractNum w:abstractNumId="13">
    <w:nsid w:val="7F01579B"/>
    <w:multiLevelType w:val="hybridMultilevel"/>
    <w:lvl w:ilvl="0">
      <w:lvlJc w:val="left"/>
      <w:lvlText w:val="(%1)"/>
      <w:numFmt w:val="lowerLetter"/>
      <w:start w:val="9"/>
    </w:lvl>
    <w:lvl w:ilvl="1">
      <w:lvlJc w:val="left"/>
      <w:lvlText w:val="(%2)"/>
      <w:numFmt w:val="lowerLetter"/>
      <w:start w:val="8"/>
    </w:lvl>
  </w:abstractNum>
  <w:abstractNum w:abstractNumId="14">
    <w:nsid w:val="49DA307D"/>
    <w:multiLevelType w:val="hybridMultilevel"/>
    <w:lvl w:ilvl="0">
      <w:lvlJc w:val="left"/>
      <w:lvlText w:val="(%1)"/>
      <w:numFmt w:val="lowerLetter"/>
      <w:start w:val="61"/>
    </w:lvl>
    <w:lvl w:ilvl="1">
      <w:lvlJc w:val="left"/>
      <w:lvlText w:val="(%2)"/>
      <w:numFmt w:val="lowerLetter"/>
      <w:start w:val="10"/>
    </w:lvl>
  </w:abstractNum>
  <w:abstractNum w:abstractNumId="15">
    <w:nsid w:val="7055A5F5"/>
    <w:multiLevelType w:val="hybridMultilevel"/>
    <w:lvl w:ilvl="0">
      <w:lvlJc w:val="left"/>
      <w:lvlText w:val="(%1)"/>
      <w:numFmt w:val="lowerLetter"/>
      <w:start w:val="11"/>
    </w:lvl>
  </w:abstractNum>
  <w:abstractNum w:abstractNumId="16">
    <w:nsid w:val="5FB8370B"/>
    <w:multiLevelType w:val="hybridMultilevel"/>
    <w:lvl w:ilvl="0">
      <w:lvlJc w:val="left"/>
      <w:lvlText w:val="(%1)"/>
      <w:numFmt w:val="lowerLetter"/>
      <w:start w:val="18"/>
    </w:lvl>
  </w:abstractNum>
  <w:abstractNum w:abstractNumId="17">
    <w:nsid w:val="50801EE1"/>
    <w:multiLevelType w:val="hybridMultilevel"/>
    <w:lvl w:ilvl="0">
      <w:lvlJc w:val="left"/>
      <w:lvlText w:val="&amp;"/>
      <w:numFmt w:val="bullet"/>
      <w:start w:val="1"/>
    </w:lvl>
    <w:lvl w:ilvl="1">
      <w:lvlJc w:val="left"/>
      <w:lvlText w:val="(%2)"/>
      <w:numFmt w:val="lowerLetter"/>
      <w:start w:val="23"/>
    </w:lvl>
  </w:abstractNum>
  <w:abstractNum w:abstractNumId="18">
    <w:nsid w:val="488AC1A"/>
    <w:multiLevelType w:val="hybridMultilevel"/>
    <w:lvl w:ilvl="0">
      <w:lvlJc w:val="left"/>
      <w:lvlText w:val="&amp;"/>
      <w:numFmt w:val="bullet"/>
      <w:start w:val="1"/>
    </w:lvl>
    <w:lvl w:ilvl="1">
      <w:lvlJc w:val="left"/>
      <w:lvlText w:val="(%2)"/>
      <w:numFmt w:val="lowerLetter"/>
      <w:start w:val="25"/>
    </w:lvl>
  </w:abstractNum>
  <w:abstractNum w:abstractNumId="19">
    <w:nsid w:val="5FB8011C"/>
    <w:multiLevelType w:val="hybridMultilevel"/>
    <w:lvl w:ilvl="0">
      <w:lvlJc w:val="left"/>
      <w:lvlText w:val="%1"/>
      <w:numFmt w:val="decimal"/>
      <w:start w:val="1"/>
    </w:lvl>
    <w:lvl w:ilvl="1">
      <w:lvlJc w:val="left"/>
      <w:lvlText w:val="(%2)"/>
      <w:numFmt w:val="lowerLetter"/>
      <w:start w:val="27"/>
    </w:lvl>
  </w:abstractNum>
  <w:abstractNum w:abstractNumId="20">
    <w:nsid w:val="6AA78F7F"/>
    <w:multiLevelType w:val="hybridMultilevel"/>
    <w:lvl w:ilvl="0">
      <w:lvlJc w:val="left"/>
      <w:lvlText w:val="%1)"/>
      <w:numFmt w:val="decimal"/>
      <w:start w:val="221"/>
    </w:lvl>
    <w:lvl w:ilvl="1">
      <w:lvlJc w:val="left"/>
      <w:lvlText w:val="(%2)"/>
      <w:numFmt w:val="lowerLetter"/>
      <w:start w:val="29"/>
    </w:lvl>
  </w:abstractNum>
  <w:abstractNum w:abstractNumId="21">
    <w:nsid w:val="7672BD23"/>
    <w:multiLevelType w:val="hybridMultilevel"/>
    <w:lvl w:ilvl="0">
      <w:lvlJc w:val="left"/>
      <w:lvlText w:val="(%1)"/>
      <w:numFmt w:val="lowerLetter"/>
      <w:start w:val="30"/>
    </w:lvl>
  </w:abstractNum>
  <w:abstractNum w:abstractNumId="22">
    <w:nsid w:val="6FC75AF8"/>
    <w:multiLevelType w:val="hybridMultilevel"/>
    <w:lvl w:ilvl="0">
      <w:lvlJc w:val="left"/>
      <w:lvlText w:val="%1."/>
      <w:numFmt w:val="decimal"/>
      <w:start w:val="7"/>
    </w:lvl>
  </w:abstractNum>
  <w:abstractNum w:abstractNumId="23">
    <w:nsid w:val="6A5F7029"/>
    <w:multiLevelType w:val="hybridMultilevel"/>
    <w:lvl w:ilvl="0">
      <w:lvlJc w:val="left"/>
      <w:lvlText w:val="%1"/>
      <w:numFmt w:val="upperLetter"/>
      <w:start w:val="1"/>
    </w:lvl>
    <w:lvl w:ilvl="1">
      <w:lvlJc w:val="left"/>
      <w:lvlText w:val="(%2)"/>
      <w:numFmt w:val="lowerLetter"/>
      <w:start w:val="1"/>
    </w:lvl>
  </w:abstractNum>
  <w:abstractNum w:abstractNumId="24">
    <w:nsid w:val="7D5E18F8"/>
    <w:multiLevelType w:val="hybridMultilevel"/>
    <w:lvl w:ilvl="0">
      <w:lvlJc w:val="left"/>
      <w:lvlText w:val="(%1)"/>
      <w:numFmt w:val="upperLetter"/>
      <w:start w:val="2"/>
    </w:lvl>
    <w:lvl w:ilvl="1">
      <w:lvlJc w:val="left"/>
      <w:lvlText w:val="(%2)"/>
      <w:numFmt w:val="lowerLetter"/>
      <w:start w:val="5"/>
    </w:lvl>
  </w:abstractNum>
  <w:abstractNum w:abstractNumId="25">
    <w:nsid w:val="5F3534A4"/>
    <w:multiLevelType w:val="hybridMultilevel"/>
    <w:lvl w:ilvl="0">
      <w:lvlJc w:val="left"/>
      <w:lvlText w:val="(%1)"/>
      <w:numFmt w:val="lowerLetter"/>
      <w:start w:val="6"/>
    </w:lvl>
  </w:abstractNum>
  <w:abstractNum w:abstractNumId="26">
    <w:nsid w:val="73A1821B"/>
    <w:multiLevelType w:val="hybridMultilevel"/>
    <w:lvl w:ilvl="0">
      <w:lvlJc w:val="left"/>
      <w:lvlText w:val="%1."/>
      <w:numFmt w:val="decimal"/>
      <w:start w:val="8"/>
    </w:lvl>
    <w:lvl w:ilvl="1">
      <w:lvlJc w:val="left"/>
      <w:lvlText w:val="(%2)"/>
      <w:numFmt w:val="lowerLetter"/>
      <w:start w:val="1"/>
    </w:lvl>
  </w:abstractNum>
  <w:abstractNum w:abstractNumId="27">
    <w:nsid w:val="7DE67713"/>
    <w:multiLevelType w:val="hybridMultilevel"/>
    <w:lvl w:ilvl="0">
      <w:lvlJc w:val="left"/>
      <w:lvlText w:val="(%1)"/>
      <w:numFmt w:val="lowerLetter"/>
      <w:start w:val="3"/>
    </w:lvl>
  </w:abstractNum>
  <w:abstractNum w:abstractNumId="28">
    <w:nsid w:val="555C55B5"/>
    <w:multiLevelType w:val="hybridMultilevel"/>
    <w:lvl w:ilvl="0">
      <w:lvlJc w:val="left"/>
      <w:lvlText w:val="%1"/>
      <w:numFmt w:val="decimal"/>
      <w:start w:val="1"/>
    </w:lvl>
    <w:lvl w:ilvl="1">
      <w:lvlJc w:val="left"/>
      <w:lvlText w:val="(%2)"/>
      <w:numFmt w:val="lowerLetter"/>
      <w:start w:val="5"/>
    </w:lvl>
  </w:abstractNum>
  <w:abstractNum w:abstractNumId="29">
    <w:nsid w:val="3FA62ACA"/>
    <w:multiLevelType w:val="hybridMultilevel"/>
    <w:lvl w:ilvl="0">
      <w:lvlJc w:val="left"/>
      <w:lvlText w:val="%1."/>
      <w:numFmt w:val="decimal"/>
      <w:start w:val="9"/>
    </w:lvl>
    <w:lvl w:ilvl="1">
      <w:lvlJc w:val="left"/>
      <w:lvlText w:val="(%2)"/>
      <w:numFmt w:val="lowerLetter"/>
      <w:start w:val="1"/>
    </w:lvl>
  </w:abstractNum>
  <w:abstractNum w:abstractNumId="30">
    <w:nsid w:val="14FCE74E"/>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31">
    <w:nsid w:val="6A3DD3E8"/>
    <w:multiLevelType w:val="hybridMultilevel"/>
    <w:lvl w:ilvl="0">
      <w:lvlJc w:val="left"/>
      <w:lvlText w:val="(%1)"/>
      <w:numFmt w:val="lowerRoman"/>
      <w:start w:val="6"/>
    </w:lvl>
  </w:abstractNum>
  <w:abstractNum w:abstractNumId="32">
    <w:nsid w:val="71C91298"/>
    <w:multiLevelType w:val="hybridMultilevel"/>
    <w:lvl w:ilvl="0">
      <w:lvlJc w:val="left"/>
      <w:lvlText w:val="(%1)"/>
      <w:numFmt w:val="lowerRoman"/>
      <w:start w:val="10"/>
    </w:lvl>
  </w:abstractNum>
  <w:abstractNum w:abstractNumId="33">
    <w:nsid w:val="9DAF632"/>
    <w:multiLevelType w:val="hybridMultilevel"/>
    <w:lvl w:ilvl="0">
      <w:lvlJc w:val="left"/>
      <w:lvlText w:val="(%1)"/>
      <w:numFmt w:val="lowerRoman"/>
      <w:start w:val="7"/>
    </w:lvl>
  </w:abstractNum>
  <w:abstractNum w:abstractNumId="34">
    <w:nsid w:val="53299938"/>
    <w:multiLevelType w:val="hybridMultilevel"/>
    <w:lvl w:ilvl="0">
      <w:lvlJc w:val="left"/>
      <w:lvlText w:val="(%1)"/>
      <w:numFmt w:val="lowerRoman"/>
      <w:start w:val="12"/>
    </w:lvl>
  </w:abstractNum>
  <w:abstractNum w:abstractNumId="35">
    <w:nsid w:val="1FBFE8E0"/>
    <w:multiLevelType w:val="hybridMultilevel"/>
    <w:lvl w:ilvl="0">
      <w:lvlJc w:val="left"/>
      <w:lvlText w:val="(%1)"/>
      <w:numFmt w:val="lowerLetter"/>
      <w:start w:val="6"/>
    </w:lvl>
  </w:abstractNum>
  <w:abstractNum w:abstractNumId="36">
    <w:nsid w:val="5092CA79"/>
    <w:multiLevelType w:val="hybridMultilevel"/>
    <w:lvl w:ilvl="0">
      <w:lvlJc w:val="left"/>
      <w:lvlText w:val="%1"/>
      <w:numFmt w:val="decimal"/>
      <w:start w:val="1"/>
    </w:lvl>
    <w:lvl w:ilvl="1">
      <w:lvlJc w:val="left"/>
      <w:lvlText w:val="(%2)"/>
      <w:numFmt w:val="lowerLetter"/>
      <w:start w:val="11"/>
    </w:lvl>
  </w:abstractNum>
  <w:abstractNum w:abstractNumId="37">
    <w:nsid w:val="1D545C4D"/>
    <w:multiLevelType w:val="hybridMultilevel"/>
    <w:lvl w:ilvl="0">
      <w:lvlJc w:val="left"/>
      <w:lvlText w:val="%1."/>
      <w:numFmt w:val="decimal"/>
      <w:start w:val="10"/>
    </w:lvl>
    <w:lvl w:ilvl="1">
      <w:lvlJc w:val="left"/>
      <w:lvlText w:val="%2"/>
      <w:numFmt w:val="lowerLetter"/>
      <w:start w:val="1"/>
    </w:lvl>
  </w:abstractNum>
  <w:abstractNum w:abstractNumId="38">
    <w:nsid w:val="59ADEA3D"/>
    <w:multiLevelType w:val="hybridMultilevel"/>
    <w:lvl w:ilvl="0">
      <w:lvlJc w:val="left"/>
      <w:lvlText w:val="%1."/>
      <w:numFmt w:val="decimal"/>
      <w:start w:val="11"/>
    </w:lvl>
  </w:abstractNum>
  <w:abstractNum w:abstractNumId="39">
    <w:nsid w:val="288F1A34"/>
    <w:multiLevelType w:val="hybridMultilevel"/>
    <w:lvl w:ilvl="0">
      <w:lvlJc w:val="left"/>
      <w:lvlText w:val="&amp;"/>
      <w:numFmt w:val="bullet"/>
      <w:start w:val="1"/>
    </w:lvl>
  </w:abstractNum>
  <w:abstractNum w:abstractNumId="40">
    <w:nsid w:val="2A155DBC"/>
    <w:multiLevelType w:val="hybridMultilevel"/>
    <w:lvl w:ilvl="0">
      <w:lvlJc w:val="left"/>
      <w:lvlText w:val="(%1)"/>
      <w:numFmt w:val="lowerRoman"/>
      <w:start w:val="10"/>
    </w:lvl>
  </w:abstractNum>
  <w:abstractNum w:abstractNumId="41">
    <w:nsid w:val="1D9F6E5F"/>
    <w:multiLevelType w:val="hybridMultilevel"/>
    <w:lvl w:ilvl="0">
      <w:lvlJc w:val="left"/>
      <w:lvlText w:val="&amp;"/>
      <w:numFmt w:val="bullet"/>
      <w:start w:val="1"/>
    </w:lvl>
  </w:abstractNum>
  <w:abstractNum w:abstractNumId="42">
    <w:nsid w:val="97E1B4E"/>
    <w:multiLevelType w:val="hybridMultilevel"/>
    <w:lvl w:ilvl="0">
      <w:lvlJc w:val="left"/>
      <w:lvlText w:val="(%1)"/>
      <w:numFmt w:val="lowerLetter"/>
      <w:start w:val="2"/>
    </w:lvl>
  </w:abstractNum>
  <w:abstractNum w:abstractNumId="43">
    <w:nsid w:val="51088277"/>
    <w:multiLevelType w:val="hybridMultilevel"/>
    <w:lvl w:ilvl="0">
      <w:lvlJc w:val="left"/>
      <w:lvlText w:val="(%1)"/>
      <w:numFmt w:val="lowerLetter"/>
      <w:start w:val="1"/>
    </w:lvl>
  </w:abstractNum>
  <w:abstractNum w:abstractNumId="44">
    <w:nsid w:val="1CA0C5FA"/>
    <w:multiLevelType w:val="hybridMultilevel"/>
    <w:lvl w:ilvl="0">
      <w:lvlJc w:val="left"/>
      <w:lvlText w:val="(%1)"/>
      <w:numFmt w:val="lowerLetter"/>
      <w:start w:val="1"/>
    </w:lvl>
  </w:abstractNum>
  <w:abstractNum w:abstractNumId="45">
    <w:nsid w:val="53584BCB"/>
    <w:multiLevelType w:val="hybridMultilevel"/>
    <w:lvl w:ilvl="0">
      <w:lvlJc w:val="left"/>
      <w:lvlText w:val="(%1)"/>
      <w:numFmt w:val="lowerRoman"/>
      <w:start w:val="5"/>
    </w:lvl>
  </w:abstractNum>
  <w:abstractNum w:abstractNumId="46">
    <w:nsid w:val="415E286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47">
    <w:nsid w:val="7C58FD0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48">
    <w:nsid w:val="23D86AAC"/>
    <w:multiLevelType w:val="hybridMultilevel"/>
    <w:lvl w:ilvl="0">
      <w:lvlJc w:val="left"/>
      <w:lvlText w:val="(%1)"/>
      <w:numFmt w:val="lowerRoman"/>
      <w:start w:val="3"/>
    </w:lvl>
  </w:abstractNum>
  <w:abstractNum w:abstractNumId="49">
    <w:nsid w:val="45E6D486"/>
    <w:multiLevelType w:val="hybridMultilevel"/>
    <w:lvl w:ilvl="0">
      <w:lvlJc w:val="left"/>
      <w:lvlText w:val="(%1)"/>
      <w:numFmt w:val="lowerRoman"/>
      <w:start w:val="6"/>
    </w:lvl>
  </w:abstractNum>
  <w:abstractNum w:abstractNumId="50">
    <w:nsid w:val="5C10FE21"/>
    <w:multiLevelType w:val="hybridMultilevel"/>
    <w:lvl w:ilvl="0">
      <w:lvlJc w:val="left"/>
      <w:lvlText w:val="%1"/>
      <w:numFmt w:val="lowerLetter"/>
      <w:start w:val="1"/>
    </w:lvl>
    <w:lvl w:ilvl="1">
      <w:lvlJc w:val="left"/>
      <w:lvlText w:val="(%2)"/>
      <w:numFmt w:val="lowerRoman"/>
      <w:start w:val="7"/>
    </w:lvl>
  </w:abstractNum>
  <w:abstractNum w:abstractNumId="51">
    <w:nsid w:val="E7FFA2B"/>
    <w:multiLevelType w:val="hybridMultilevel"/>
    <w:lvl w:ilvl="0">
      <w:lvlJc w:val="left"/>
      <w:lvlText w:val="(%1)"/>
      <w:numFmt w:val="lowerLetter"/>
      <w:start w:val="2"/>
    </w:lvl>
    <w:lvl w:ilvl="1">
      <w:lvlJc w:val="left"/>
      <w:lvlText w:val="(%2)"/>
      <w:numFmt w:val="lowerRoman"/>
      <w:start w:val="1"/>
    </w:lvl>
  </w:abstractNum>
  <w:abstractNum w:abstractNumId="52">
    <w:nsid w:val="3C5991AA"/>
    <w:multiLevelType w:val="hybridMultilevel"/>
    <w:lvl w:ilvl="0">
      <w:lvlJc w:val="left"/>
      <w:lvlText w:val="(%1)"/>
      <w:numFmt w:val="lowerRoman"/>
      <w:start w:val="2"/>
    </w:lvl>
  </w:abstractNum>
  <w:abstractNum w:abstractNumId="53">
    <w:nsid w:val="4BD8591A"/>
    <w:multiLevelType w:val="hybridMultilevel"/>
    <w:lvl w:ilvl="0">
      <w:lvlJc w:val="left"/>
      <w:lvlText w:val="(%1)"/>
      <w:numFmt w:val="lowerLetter"/>
      <w:start w:val="3"/>
    </w:lvl>
  </w:abstractNum>
  <w:abstractNum w:abstractNumId="54">
    <w:nsid w:val="78DF6A55"/>
    <w:multiLevelType w:val="hybridMultilevel"/>
    <w:lvl w:ilvl="0">
      <w:lvlJc w:val="left"/>
      <w:lvlText w:val="%1"/>
      <w:numFmt w:val="lowerLetter"/>
      <w:start w:val="1"/>
    </w:lvl>
    <w:lvl w:ilvl="1">
      <w:lvlJc w:val="left"/>
      <w:lvlText w:val="(%2)"/>
      <w:numFmt w:val="lowerLetter"/>
      <w:start w:val="1"/>
    </w:lvl>
  </w:abstractNum>
  <w:abstractNum w:abstractNumId="55">
    <w:nsid w:val="39B7AAA2"/>
    <w:multiLevelType w:val="hybridMultilevel"/>
    <w:lvl w:ilvl="0">
      <w:lvlJc w:val="left"/>
      <w:lvlText w:val="(%1)"/>
      <w:numFmt w:val="lowerLetter"/>
      <w:start w:val="35"/>
    </w:lvl>
    <w:lvl w:ilvl="1">
      <w:lvlJc w:val="left"/>
      <w:lvlText w:val="(%2)"/>
      <w:numFmt w:val="lowerLetter"/>
      <w:start w:val="3"/>
    </w:lvl>
  </w:abstractNum>
  <w:abstractNum w:abstractNumId="56">
    <w:nsid w:val="2B0D8DBE"/>
    <w:multiLevelType w:val="hybridMultilevel"/>
    <w:lvl w:ilvl="0">
      <w:lvlJc w:val="left"/>
      <w:lvlText w:val="(%1)"/>
      <w:numFmt w:val="lowerLetter"/>
      <w:start w:val="4"/>
    </w:lvl>
  </w:abstractNum>
  <w:abstractNum w:abstractNumId="57">
    <w:nsid w:val="6C80EC70"/>
    <w:multiLevelType w:val="hybridMultilevel"/>
    <w:lvl w:ilvl="0">
      <w:lvlJc w:val="left"/>
      <w:lvlText w:val="(%1)"/>
      <w:numFmt w:val="lowerLetter"/>
      <w:start w:val="1"/>
    </w:lvl>
  </w:abstractNum>
  <w:abstractNum w:abstractNumId="58">
    <w:nsid w:val="379E21B5"/>
    <w:multiLevelType w:val="hybridMultilevel"/>
    <w:lvl w:ilvl="0">
      <w:lvlJc w:val="left"/>
      <w:lvlText w:val="(%1)"/>
      <w:numFmt w:val="lowerLetter"/>
      <w:start w:val="3"/>
    </w:lvl>
  </w:abstractNum>
  <w:abstractNum w:abstractNumId="59">
    <w:nsid w:val="69E373"/>
    <w:multiLevelType w:val="hybridMultilevel"/>
    <w:lvl w:ilvl="0">
      <w:lvlJc w:val="left"/>
      <w:lvlText w:val="(%1)"/>
      <w:numFmt w:val="lowerLetter"/>
      <w:start w:val="1"/>
    </w:lvl>
    <w:lvl w:ilvl="1">
      <w:lvlJc w:val="left"/>
      <w:lvlText w:val="(%2)"/>
      <w:numFmt w:val="lowerRoman"/>
      <w:start w:val="1"/>
    </w:lvl>
  </w:abstractNum>
  <w:abstractNum w:abstractNumId="60">
    <w:nsid w:val="2C27173B"/>
    <w:multiLevelType w:val="hybridMultilevel"/>
    <w:lvl w:ilvl="0">
      <w:lvlJc w:val="left"/>
      <w:lvlText w:val="%1"/>
      <w:numFmt w:val="lowerLetter"/>
      <w:start w:val="1"/>
    </w:lvl>
    <w:lvl w:ilvl="1">
      <w:lvlJc w:val="left"/>
      <w:lvlText w:val="(%2)"/>
      <w:numFmt w:val="lowerRoman"/>
      <w:start w:val="4"/>
    </w:lvl>
  </w:abstractNum>
  <w:abstractNum w:abstractNumId="61">
    <w:nsid w:val="4C9B0904"/>
    <w:multiLevelType w:val="hybridMultilevel"/>
    <w:lvl w:ilvl="0">
      <w:lvlJc w:val="left"/>
      <w:lvlText w:val="(%1)"/>
      <w:numFmt w:val="lowerLetter"/>
      <w:start w:val="6"/>
    </w:lvl>
    <w:lvl w:ilvl="1">
      <w:lvlJc w:val="left"/>
      <w:lvlText w:val="%2"/>
      <w:numFmt w:val="lowerRoman"/>
      <w:start w:val="1"/>
    </w:lvl>
  </w:abstractNum>
  <w:abstractNum w:abstractNumId="62">
    <w:nsid w:val="6AA7B75C"/>
    <w:multiLevelType w:val="hybridMultilevel"/>
    <w:lvl w:ilvl="0">
      <w:lvlJc w:val="left"/>
      <w:lvlText w:val="(%1)"/>
      <w:numFmt w:val="lowerRoman"/>
      <w:start w:val="1"/>
    </w:lvl>
  </w:abstractNum>
  <w:abstractNum w:abstractNumId="63">
    <w:nsid w:val="1DF029D3"/>
    <w:multiLevelType w:val="hybridMultilevel"/>
    <w:lvl w:ilvl="0">
      <w:lvlJc w:val="left"/>
      <w:lvlText w:val="(%1)"/>
      <w:numFmt w:val="lowerLetter"/>
      <w:start w:val="1"/>
    </w:lvl>
  </w:abstractNum>
  <w:abstractNum w:abstractNumId="64">
    <w:nsid w:val="5675FF36"/>
    <w:multiLevelType w:val="hybridMultilevel"/>
    <w:lvl w:ilvl="0">
      <w:lvlJc w:val="left"/>
      <w:lvlText w:val="%1"/>
      <w:numFmt w:val="lowerLetter"/>
      <w:start w:val="1"/>
    </w:lvl>
    <w:lvl w:ilvl="1">
      <w:lvlJc w:val="left"/>
      <w:lvlText w:val="(%2)"/>
      <w:numFmt w:val="lowerLetter"/>
      <w:start w:val="1"/>
    </w:lvl>
  </w:abstractNum>
  <w:abstractNum w:abstractNumId="65">
    <w:nsid w:val="3DD15094"/>
    <w:multiLevelType w:val="hybridMultilevel"/>
    <w:lvl w:ilvl="0">
      <w:lvlJc w:val="left"/>
      <w:lvlText w:val="(%1)"/>
      <w:numFmt w:val="lowerLetter"/>
      <w:start w:val="2"/>
    </w:lvl>
    <w:lvl w:ilvl="1">
      <w:lvlJc w:val="left"/>
      <w:lvlText w:val="%2"/>
      <w:numFmt w:val="lowerLetter"/>
      <w:start w:val="1"/>
    </w:lvl>
  </w:abstractNum>
  <w:abstractNum w:abstractNumId="66">
    <w:nsid w:val="3DB012B3"/>
    <w:multiLevelType w:val="hybridMultilevel"/>
    <w:lvl w:ilvl="0">
      <w:lvlJc w:val="left"/>
      <w:lvlText w:val="(%1)"/>
      <w:numFmt w:val="lowerLetter"/>
      <w:start w:val="4"/>
    </w:lvl>
  </w:abstractNum>
  <w:abstractNum w:abstractNumId="67">
    <w:nsid w:val="2708C9AF"/>
    <w:multiLevelType w:val="hybridMultilevel"/>
    <w:lvl w:ilvl="0">
      <w:lvlJc w:val="left"/>
      <w:lvlText w:val="%1"/>
      <w:numFmt w:val="lowerLetter"/>
      <w:start w:val="1"/>
    </w:lvl>
    <w:lvl w:ilvl="1">
      <w:lvlJc w:val="left"/>
      <w:lvlText w:val="(%2)"/>
      <w:numFmt w:val="lowerLetter"/>
      <w:start w:val="5"/>
    </w:lvl>
  </w:abstractNum>
  <w:abstractNum w:abstractNumId="68">
    <w:nsid w:val="5B25ACE2"/>
    <w:multiLevelType w:val="hybridMultilevel"/>
    <w:lvl w:ilvl="0">
      <w:lvlJc w:val="left"/>
      <w:lvlText w:val="(%1)"/>
      <w:numFmt w:val="lowerLetter"/>
      <w:start w:val="3"/>
    </w:lvl>
    <w:lvl w:ilvl="1">
      <w:lvlJc w:val="left"/>
      <w:lvlText w:val="(%2)"/>
      <w:numFmt w:val="lowerLetter"/>
      <w:start w:val="6"/>
    </w:lvl>
  </w:abstractNum>
  <w:abstractNum w:abstractNumId="69">
    <w:nsid w:val="175DFCF0"/>
    <w:multiLevelType w:val="hybridMultilevel"/>
    <w:lvl w:ilvl="0">
      <w:lvlJc w:val="left"/>
      <w:lvlText w:val="(%1)"/>
      <w:numFmt w:val="lowerLetter"/>
      <w:start w:val="1"/>
    </w:lvl>
  </w:abstractNum>
  <w:abstractNum w:abstractNumId="70">
    <w:nsid w:val="4F97E3E4"/>
    <w:multiLevelType w:val="hybridMultilevel"/>
    <w:lvl w:ilvl="0">
      <w:lvlJc w:val="left"/>
      <w:lvlText w:val="(%1)"/>
      <w:numFmt w:val="decimal"/>
      <w:start w:val="1"/>
    </w:lvl>
  </w:abstractNum>
  <w:abstractNum w:abstractNumId="71">
    <w:nsid w:val="53B0A9E"/>
    <w:multiLevelType w:val="hybridMultilevel"/>
    <w:lvl w:ilvl="0">
      <w:lvlJc w:val="left"/>
      <w:lvlText w:val="(%1)"/>
      <w:numFmt w:val="lowerLetter"/>
      <w:start w:val="1"/>
    </w:lvl>
    <w:lvl w:ilvl="1">
      <w:lvlJc w:val="left"/>
      <w:lvlText w:val="(%2)"/>
      <w:numFmt w:val="decimal"/>
      <w:start w:val="1"/>
    </w:lvl>
  </w:abstractNum>
  <w:abstractNum w:abstractNumId="72">
    <w:nsid w:val="34FD6B4F"/>
    <w:multiLevelType w:val="hybridMultilevel"/>
    <w:lvl w:ilvl="0">
      <w:lvlJc w:val="left"/>
      <w:lvlText w:val="(%1)"/>
      <w:numFmt w:val="lowerLetter"/>
      <w:start w:val="3"/>
    </w:lvl>
  </w:abstractNum>
  <w:abstractNum w:abstractNumId="73">
    <w:nsid w:val="5915FF32"/>
    <w:multiLevelType w:val="hybridMultilevel"/>
    <w:lvl w:ilvl="0">
      <w:lvlJc w:val="left"/>
      <w:lvlText w:val="(%1)"/>
      <w:numFmt w:val="lowerLetter"/>
      <w:start w:val="5"/>
    </w:lvl>
  </w:abstractNum>
  <w:abstractNum w:abstractNumId="74">
    <w:nsid w:val="56438D15"/>
    <w:multiLevelType w:val="hybridMultilevel"/>
    <w:lvl w:ilvl="0">
      <w:lvlJc w:val="left"/>
      <w:lvlText w:val="(%1)"/>
      <w:numFmt w:val="lowerLetter"/>
      <w:start w:val="1"/>
    </w:lvl>
  </w:abstractNum>
  <w:abstractNum w:abstractNumId="75">
    <w:nsid w:val="519E3149"/>
    <w:multiLevelType w:val="hybridMultilevel"/>
    <w:lvl w:ilvl="0">
      <w:lvlJc w:val="left"/>
      <w:lvlText w:val="(%1)"/>
      <w:numFmt w:val="lowerLetter"/>
      <w:start w:val="2"/>
    </w:lvl>
  </w:abstractNum>
  <w:abstractNum w:abstractNumId="76">
    <w:nsid w:val="2C6E4AFD"/>
    <w:multiLevelType w:val="hybridMultilevel"/>
    <w:lvl w:ilvl="0">
      <w:lvlJc w:val="left"/>
      <w:lvlText w:val="(%1)"/>
      <w:numFmt w:val="lowerLetter"/>
      <w:start w:val="1"/>
    </w:lvl>
  </w:abstractNum>
  <w:abstractNum w:abstractNumId="77">
    <w:nsid w:val="17A1B582"/>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78">
    <w:nsid w:val="4DF72E4E"/>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79">
    <w:nsid w:val="5046B5A9"/>
    <w:multiLevelType w:val="hybridMultilevel"/>
    <w:lvl w:ilvl="0">
      <w:lvlJc w:val="left"/>
      <w:lvlText w:val="(%1)"/>
      <w:numFmt w:val="lowerRoman"/>
      <w:start w:val="1"/>
    </w:lvl>
  </w:abstractNum>
  <w:abstractNum w:abstractNumId="80">
    <w:nsid w:val="5D888A08"/>
    <w:multiLevelType w:val="hybridMultilevel"/>
    <w:lvl w:ilvl="0">
      <w:lvlJc w:val="left"/>
      <w:lvlText w:val="(%1)"/>
      <w:numFmt w:val="lowerRoman"/>
      <w:start w:val="1"/>
    </w:lvl>
  </w:abstractNum>
  <w:abstractNum w:abstractNumId="81">
    <w:nsid w:val="2A082C70"/>
    <w:multiLevelType w:val="hybridMultilevel"/>
    <w:lvl w:ilvl="0">
      <w:lvlJc w:val="left"/>
      <w:lvlText w:val="(%1)"/>
      <w:numFmt w:val="lowerLetter"/>
      <w:start w:val="1"/>
    </w:lvl>
  </w:abstractNum>
  <w:abstractNum w:abstractNumId="82">
    <w:nsid w:val="5EC6AFD4"/>
    <w:multiLevelType w:val="hybridMultilevel"/>
    <w:lvl w:ilvl="0">
      <w:lvlJc w:val="left"/>
      <w:lvlText w:val="(%1)"/>
      <w:numFmt w:val="lowerLetter"/>
      <w:start w:val="1"/>
    </w:lvl>
  </w:abstractNum>
  <w:abstractNum w:abstractNumId="83">
    <w:nsid w:val="19E21BB2"/>
    <w:multiLevelType w:val="hybridMultilevel"/>
    <w:lvl w:ilvl="0">
      <w:lvlJc w:val="left"/>
      <w:lvlText w:val="(%1)"/>
      <w:numFmt w:val="lowerLetter"/>
      <w:start w:val="1"/>
    </w:lvl>
  </w:abstractNum>
  <w:abstractNum w:abstractNumId="84">
    <w:nsid w:val="75E0858A"/>
    <w:multiLevelType w:val="hybridMultilevel"/>
    <w:lvl w:ilvl="0">
      <w:lvlJc w:val="left"/>
      <w:lvlText w:val="(%1)"/>
      <w:numFmt w:val="lowerLetter"/>
      <w:start w:val="1"/>
    </w:lvl>
  </w:abstractNum>
  <w:abstractNum w:abstractNumId="85">
    <w:nsid w:val="57A61A29"/>
    <w:multiLevelType w:val="hybridMultilevel"/>
    <w:lvl w:ilvl="0">
      <w:lvlJc w:val="left"/>
      <w:lvlText w:val="(%1)"/>
      <w:numFmt w:val="lowerLetter"/>
      <w:start w:val="1"/>
    </w:lvl>
  </w:abstractNum>
  <w:abstractNum w:abstractNumId="86">
    <w:nsid w:val="5399C654"/>
    <w:multiLevelType w:val="hybridMultilevel"/>
    <w:lvl w:ilvl="0">
      <w:lvlJc w:val="left"/>
      <w:lvlText w:val="(%1)"/>
      <w:numFmt w:val="lowerLetter"/>
      <w:start w:val="1"/>
    </w:lvl>
  </w:abstractNum>
  <w:abstractNum w:abstractNumId="87">
    <w:nsid w:val="20EE1348"/>
    <w:multiLevelType w:val="hybridMultilevel"/>
    <w:lvl w:ilvl="0">
      <w:lvlJc w:val="left"/>
      <w:lvlText w:val="(%1)"/>
      <w:numFmt w:val="lowerLetter"/>
      <w:start w:val="9"/>
    </w:lvl>
  </w:abstractNum>
  <w:abstractNum w:abstractNumId="88">
    <w:nsid w:val="4427069A"/>
    <w:multiLevelType w:val="hybridMultilevel"/>
    <w:lvl w:ilvl="0">
      <w:lvlJc w:val="left"/>
      <w:lvlText w:val="(%1)"/>
      <w:numFmt w:val="lowerLetter"/>
      <w:start w:val="1"/>
    </w:lvl>
  </w:abstractNum>
  <w:abstractNum w:abstractNumId="89">
    <w:nsid w:val="B37E80A"/>
    <w:multiLevelType w:val="hybridMultilevel"/>
    <w:lvl w:ilvl="0">
      <w:lvlJc w:val="left"/>
      <w:lvlText w:val="(%1)"/>
      <w:numFmt w:val="lowerLetter"/>
      <w:start w:val="1"/>
    </w:lvl>
  </w:abstractNum>
  <w:abstractNum w:abstractNumId="90">
    <w:nsid w:val="2157F6BC"/>
    <w:multiLevelType w:val="hybridMultilevel"/>
    <w:lvl w:ilvl="0">
      <w:lvlJc w:val="left"/>
      <w:lvlText w:val="(%1)"/>
      <w:numFmt w:val="decimal"/>
      <w:start w:val="1"/>
    </w:lvl>
  </w:abstractNum>
  <w:abstractNum w:abstractNumId="91">
    <w:nsid w:val="704E1DD5"/>
    <w:multiLevelType w:val="hybridMultilevel"/>
    <w:lvl w:ilvl="0">
      <w:lvlJc w:val="left"/>
      <w:lvlText w:val="(%1)"/>
      <w:numFmt w:val="decimal"/>
      <w:start w:val="3"/>
    </w:lvl>
  </w:abstractNum>
  <w:abstractNum w:abstractNumId="92">
    <w:nsid w:val="57D2F10E"/>
    <w:multiLevelType w:val="hybridMultilevel"/>
    <w:lvl w:ilvl="0">
      <w:lvlJc w:val="left"/>
      <w:lvlText w:val="%1"/>
      <w:numFmt w:val="lowerLetter"/>
      <w:start w:val="1"/>
    </w:lvl>
    <w:lvl w:ilvl="1">
      <w:lvlJc w:val="left"/>
      <w:lvlText w:val="%2."/>
      <w:numFmt w:val="decimal"/>
      <w:start w:val="1"/>
    </w:lvl>
  </w:abstractNum>
  <w:abstractNum w:abstractNumId="93">
    <w:nsid w:val="BFFAE18"/>
    <w:multiLevelType w:val="hybridMultilevel"/>
    <w:lvl w:ilvl="0">
      <w:lvlJc w:val="left"/>
      <w:lvlText w:val="(%1)"/>
      <w:numFmt w:val="lowerLetter"/>
      <w:start w:val="1"/>
    </w:lvl>
    <w:lvl w:ilvl="1">
      <w:lvlJc w:val="left"/>
      <w:lvlText w:val="%2"/>
      <w:numFmt w:val="decimal"/>
      <w:start w:val="1"/>
    </w:lvl>
  </w:abstractNum>
  <w:abstractNum w:abstractNumId="94">
    <w:nsid w:val="E3E47A8"/>
    <w:multiLevelType w:val="hybridMultilevel"/>
    <w:lvl w:ilvl="0">
      <w:lvlJc w:val="left"/>
      <w:lvlText w:val="(%1)"/>
      <w:numFmt w:val="lowerRoman"/>
      <w:start w:val="10"/>
    </w:lvl>
    <w:lvl w:ilvl="1">
      <w:lvlJc w:val="left"/>
      <w:lvlText w:val="%2."/>
      <w:numFmt w:val="decimal"/>
      <w:start w:val="3"/>
    </w:lvl>
  </w:abstractNum>
  <w:abstractNum w:abstractNumId="95">
    <w:nsid w:val="2E48F044"/>
    <w:multiLevelType w:val="hybridMultilevel"/>
    <w:lvl w:ilvl="0">
      <w:lvlJc w:val="left"/>
      <w:lvlText w:val="%1."/>
      <w:numFmt w:val="decimal"/>
      <w:start w:val="7"/>
    </w:lvl>
  </w:abstractNum>
  <w:abstractNum w:abstractNumId="96">
    <w:nsid w:val="49D0FEAC"/>
    <w:multiLevelType w:val="hybridMultilevel"/>
    <w:lvl w:ilvl="0">
      <w:lvlJc w:val="left"/>
      <w:lvlText w:val="%1."/>
      <w:numFmt w:val="decimal"/>
      <w:start w:val="8"/>
    </w:lvl>
  </w:abstractNum>
  <w:abstractNum w:abstractNumId="97">
    <w:nsid w:val="4BEE5A5B"/>
    <w:multiLevelType w:val="hybridMultilevel"/>
    <w:lvl w:ilvl="0">
      <w:lvlJc w:val="left"/>
      <w:lvlText w:val="%1."/>
      <w:numFmt w:val="decimal"/>
      <w:start w:val="9"/>
    </w:lvl>
  </w:abstractNum>
  <w:abstractNum w:abstractNumId="98">
    <w:nsid w:val="5551B9F3"/>
    <w:multiLevelType w:val="hybridMultilevel"/>
    <w:lvl w:ilvl="0">
      <w:lvlJc w:val="left"/>
      <w:lvlText w:val="%1."/>
      <w:numFmt w:val="decimal"/>
      <w:start w:val="11"/>
    </w:lvl>
  </w:abstractNum>
  <w:abstractNum w:abstractNumId="99">
    <w:nsid w:val="24F6AB8E"/>
    <w:multiLevelType w:val="hybridMultilevel"/>
    <w:lvl w:ilvl="0">
      <w:lvlJc w:val="left"/>
      <w:lvlText w:val="%1."/>
      <w:numFmt w:val="decimal"/>
      <w:start w:val="13"/>
    </w:lvl>
  </w:abstractNum>
  <w:abstractNum w:abstractNumId="100">
    <w:nsid w:val="634C574C"/>
    <w:multiLevelType w:val="hybridMultilevel"/>
    <w:lvl w:ilvl="0">
      <w:lvlJc w:val="left"/>
      <w:lvlText w:val="%1."/>
      <w:numFmt w:val="decimal"/>
      <w:start w:val="18"/>
    </w:lvl>
  </w:abstractNum>
  <w:abstractNum w:abstractNumId="101">
    <w:nsid w:val="24E99DD7"/>
    <w:multiLevelType w:val="hybridMultilevel"/>
    <w:lvl w:ilvl="0">
      <w:lvlJc w:val="left"/>
      <w:lvlText w:val="(%1)"/>
      <w:numFmt w:val="decimal"/>
      <w:start w:val="1"/>
    </w:lvl>
  </w:abstractNum>
  <w:abstractNum w:abstractNumId="102">
    <w:nsid w:val="2A31B62D"/>
    <w:multiLevelType w:val="hybridMultilevel"/>
    <w:lvl w:ilvl="0">
      <w:lvlJc w:val="left"/>
      <w:lvlText w:val="["/>
      <w:numFmt w:val="bullet"/>
      <w:start w:val="1"/>
    </w:lvl>
    <w:lvl w:ilvl="1">
      <w:lvlJc w:val="left"/>
      <w:lvlText w:val="(%2)"/>
      <w:numFmt w:val="upperLetter"/>
      <w:start w:val="2"/>
    </w:lvl>
  </w:abstractNum>
  <w:abstractNum w:abstractNumId="103">
    <w:nsid w:val="1849C29B"/>
    <w:multiLevelType w:val="hybridMultilevel"/>
    <w:lvl w:ilvl="0">
      <w:lvlJc w:val="left"/>
      <w:lvlText w:val="%1."/>
      <w:numFmt w:val="upperLetter"/>
      <w:start w:val="61"/>
    </w:lvl>
  </w:abstractNum>
  <w:abstractNum w:abstractNumId="104">
    <w:nsid w:val="7DFF9D09"/>
    <w:multiLevelType w:val="hybridMultilevel"/>
    <w:lvl w:ilvl="0">
      <w:lvlJc w:val="left"/>
      <w:lvlText w:val="*"/>
      <w:numFmt w:val="bullet"/>
      <w:start w:val="1"/>
    </w:lvl>
  </w:abstractNum>
  <w:abstractNum w:abstractNumId="105">
    <w:nsid w:val="754342"/>
    <w:multiLevelType w:val="hybridMultilevel"/>
    <w:lvl w:ilvl="0">
      <w:lvlJc w:val="left"/>
      <w:lvlText w:val="%1"/>
      <w:numFmt w:val="lowerLetter"/>
      <w:start w:val="1"/>
    </w:lvl>
    <w:lvl w:ilvl="1">
      <w:lvlJc w:val="left"/>
      <w:lvlText w:val="%2."/>
      <w:numFmt w:val="decimal"/>
      <w:start w:val="1"/>
    </w:lvl>
  </w:abstractNum>
  <w:abstractNum w:abstractNumId="106">
    <w:nsid w:val="69E7F3E5"/>
    <w:multiLevelType w:val="hybridMultilevel"/>
    <w:lvl w:ilvl="0">
      <w:lvlJc w:val="left"/>
      <w:lvlText w:val="(%1)"/>
      <w:numFmt w:val="lowerLetter"/>
      <w:start w:val="1"/>
    </w:lvl>
    <w:lvl w:ilvl="1">
      <w:lvlJc w:val="left"/>
      <w:lvlText w:val="%2"/>
      <w:numFmt w:val="decimal"/>
      <w:start w:val="1"/>
    </w:lvl>
  </w:abstractNum>
  <w:abstractNum w:abstractNumId="107">
    <w:nsid w:val="2A6DE806"/>
    <w:multiLevelType w:val="hybridMultilevel"/>
    <w:lvl w:ilvl="0">
      <w:lvlJc w:val="left"/>
      <w:lvlText w:val="(%1)"/>
      <w:numFmt w:val="lowerRoman"/>
      <w:start w:val="10"/>
    </w:lvl>
    <w:lvl w:ilvl="1">
      <w:lvlJc w:val="left"/>
      <w:lvlText w:val="%2."/>
      <w:numFmt w:val="decimal"/>
      <w:start w:val="3"/>
    </w:lvl>
  </w:abstractNum>
  <w:abstractNum w:abstractNumId="108">
    <w:nsid w:val="1816F8C4"/>
    <w:multiLevelType w:val="hybridMultilevel"/>
    <w:lvl w:ilvl="0">
      <w:lvlJc w:val="left"/>
      <w:lvlText w:val="%1."/>
      <w:numFmt w:val="decimal"/>
      <w:start w:val="7"/>
    </w:lvl>
  </w:abstractNum>
  <w:abstractNum w:abstractNumId="109">
    <w:nsid w:val="37DF2233"/>
    <w:multiLevelType w:val="hybridMultilevel"/>
    <w:lvl w:ilvl="0">
      <w:lvlJc w:val="left"/>
      <w:lvlText w:val="%1"/>
      <w:numFmt w:val="decimal"/>
      <w:start w:val="60"/>
    </w:lvl>
  </w:abstractNum>
  <w:abstractNum w:abstractNumId="110">
    <w:nsid w:val="7AB49DAF"/>
    <w:multiLevelType w:val="hybridMultilevel"/>
    <w:lvl w:ilvl="0">
      <w:lvlJc w:val="left"/>
      <w:lvlText w:val="%1."/>
      <w:numFmt w:val="decimal"/>
      <w:start w:val="8"/>
    </w:lvl>
  </w:abstractNum>
  <w:abstractNum w:abstractNumId="111">
    <w:nsid w:val="759F82CD"/>
    <w:multiLevelType w:val="hybridMultilevel"/>
    <w:lvl w:ilvl="0">
      <w:lvlJc w:val="left"/>
      <w:lvlText w:val="%1."/>
      <w:numFmt w:val="decimal"/>
      <w:start w:val="9"/>
    </w:lvl>
  </w:abstractNum>
  <w:abstractNum w:abstractNumId="112">
    <w:nsid w:val="61E74EA3"/>
    <w:multiLevelType w:val="hybridMultilevel"/>
    <w:lvl w:ilvl="0">
      <w:lvlJc w:val="left"/>
      <w:lvlText w:val="%1."/>
      <w:numFmt w:val="decimal"/>
      <w:start w:val="11"/>
    </w:lvl>
  </w:abstractNum>
  <w:abstractNum w:abstractNumId="113">
    <w:nsid w:val="597B4D84"/>
    <w:multiLevelType w:val="hybridMultilevel"/>
    <w:lvl w:ilvl="0">
      <w:lvlJc w:val="left"/>
      <w:lvlText w:val="%1."/>
      <w:numFmt w:val="decimal"/>
      <w:start w:val="13"/>
    </w:lvl>
  </w:abstractNum>
  <w:abstractNum w:abstractNumId="114">
    <w:nsid w:val="F819E7F"/>
    <w:multiLevelType w:val="hybridMultilevel"/>
    <w:lvl w:ilvl="0">
      <w:lvlJc w:val="left"/>
      <w:lvlText w:val="%1."/>
      <w:numFmt w:val="decimal"/>
      <w:start w:val="18"/>
    </w:lvl>
  </w:abstractNum>
  <w:abstractNum w:abstractNumId="115">
    <w:nsid w:val="57C7D42D"/>
    <w:multiLevelType w:val="hybridMultilevel"/>
    <w:lvl w:ilvl="0">
      <w:lvlJc w:val="left"/>
      <w:lvlText w:val="(%1)"/>
      <w:numFmt w:val="decimal"/>
      <w:start w:val="1"/>
    </w:lvl>
  </w:abstractNum>
  <w:abstractNum w:abstractNumId="116">
    <w:nsid w:val="312167AD"/>
    <w:multiLevelType w:val="hybridMultilevel"/>
    <w:lvl w:ilvl="0">
      <w:lvlJc w:val="left"/>
      <w:lvlText w:val="["/>
      <w:numFmt w:val="bullet"/>
      <w:start w:val="1"/>
    </w:lvl>
    <w:lvl w:ilvl="1">
      <w:lvlJc w:val="left"/>
      <w:lvlText w:val="(%2)"/>
      <w:numFmt w:val="upperLetter"/>
      <w:start w:val="2"/>
    </w:lvl>
  </w:abstractNum>
  <w:abstractNum w:abstractNumId="117">
    <w:nsid w:val="631B64D4"/>
    <w:multiLevelType w:val="hybridMultilevel"/>
    <w:lvl w:ilvl="0">
      <w:lvlJc w:val="left"/>
      <w:lvlText w:val="%1."/>
      <w:numFmt w:val="upperLetter"/>
      <w:start w:val="61"/>
    </w:lvl>
  </w:abstractNum>
  <w:abstractNum w:abstractNumId="118">
    <w:nsid w:val="78B5E776"/>
    <w:multiLevelType w:val="hybridMultilevel"/>
    <w:lvl w:ilvl="0">
      <w:lvlJc w:val="left"/>
      <w:lvlText w:val="*"/>
      <w:numFmt w:val="bullet"/>
      <w:start w:val="1"/>
    </w:lvl>
  </w:abstractNum>
  <w:abstractNum w:abstractNumId="119">
    <w:nsid w:val="75486E47"/>
    <w:multiLevelType w:val="hybridMultilevel"/>
    <w:lvl w:ilvl="0">
      <w:lvlJc w:val="left"/>
      <w:lvlText w:val="%1"/>
      <w:numFmt w:val="lowerLetter"/>
      <w:start w:val="1"/>
    </w:lvl>
    <w:lvl w:ilvl="1">
      <w:lvlJc w:val="left"/>
      <w:lvlText w:val="%2."/>
      <w:numFmt w:val="decimal"/>
      <w:start w:val="1"/>
    </w:lvl>
  </w:abstractNum>
  <w:abstractNum w:abstractNumId="120">
    <w:nsid w:val="6E534CDE"/>
    <w:multiLevelType w:val="hybridMultilevel"/>
    <w:lvl w:ilvl="0">
      <w:lvlJc w:val="left"/>
      <w:lvlText w:val="(%1)"/>
      <w:numFmt w:val="lowerLetter"/>
      <w:start w:val="1"/>
    </w:lvl>
    <w:lvl w:ilvl="1">
      <w:lvlJc w:val="left"/>
      <w:lvlText w:val="%2"/>
      <w:numFmt w:val="decimal"/>
      <w:start w:val="1"/>
    </w:lvl>
  </w:abstractNum>
  <w:abstractNum w:abstractNumId="121">
    <w:nsid w:val="1A0DDE32"/>
    <w:multiLevelType w:val="hybridMultilevel"/>
    <w:lvl w:ilvl="0">
      <w:lvlJc w:val="left"/>
      <w:lvlText w:val="(%1)"/>
      <w:numFmt w:val="lowerRoman"/>
      <w:start w:val="10"/>
    </w:lvl>
  </w:abstractNum>
  <w:abstractNum w:abstractNumId="122">
    <w:nsid w:val="65968C1C"/>
    <w:multiLevelType w:val="hybridMultilevel"/>
    <w:lvl w:ilvl="0">
      <w:lvlJc w:val="left"/>
      <w:lvlText w:val="%1."/>
      <w:numFmt w:val="decimal"/>
      <w:start w:val="3"/>
    </w:lvl>
  </w:abstractNum>
  <w:abstractNum w:abstractNumId="123">
    <w:nsid w:val="46263DEC"/>
    <w:multiLevelType w:val="hybridMultilevel"/>
    <w:lvl w:ilvl="0">
      <w:lvlJc w:val="left"/>
      <w:lvlText w:val="%1."/>
      <w:numFmt w:val="decimal"/>
      <w:start w:val="7"/>
    </w:lvl>
  </w:abstractNum>
  <w:abstractNum w:abstractNumId="124">
    <w:nsid w:val="260D8C4A"/>
    <w:multiLevelType w:val="hybridMultilevel"/>
    <w:lvl w:ilvl="0">
      <w:lvlJc w:val="left"/>
      <w:lvlText w:val="%1"/>
      <w:numFmt w:val="decimal"/>
      <w:start w:val="60"/>
    </w:lvl>
  </w:abstractNum>
  <w:abstractNum w:abstractNumId="125">
    <w:nsid w:val="73D4D3C4"/>
    <w:multiLevelType w:val="hybridMultilevel"/>
    <w:lvl w:ilvl="0">
      <w:lvlJc w:val="left"/>
      <w:lvlText w:val="%1."/>
      <w:numFmt w:val="decimal"/>
      <w:start w:val="8"/>
    </w:lvl>
  </w:abstractNum>
  <w:abstractNum w:abstractNumId="126">
    <w:nsid w:val="746F2E30"/>
    <w:multiLevelType w:val="hybridMultilevel"/>
    <w:lvl w:ilvl="0">
      <w:lvlJc w:val="left"/>
      <w:lvlText w:val="%1."/>
      <w:numFmt w:val="decimal"/>
      <w:start w:val="9"/>
    </w:lvl>
  </w:abstractNum>
  <w:abstractNum w:abstractNumId="127">
    <w:nsid w:val="6FDE8AF6"/>
    <w:multiLevelType w:val="hybridMultilevel"/>
    <w:lvl w:ilvl="0">
      <w:lvlJc w:val="left"/>
      <w:lvlText w:val="%1."/>
      <w:numFmt w:val="decimal"/>
      <w:start w:val="11"/>
    </w:lvl>
  </w:abstractNum>
  <w:abstractNum w:abstractNumId="128">
    <w:nsid w:val="3FC32E20"/>
    <w:multiLevelType w:val="hybridMultilevel"/>
    <w:lvl w:ilvl="0">
      <w:lvlJc w:val="left"/>
      <w:lvlText w:val="%1."/>
      <w:numFmt w:val="decimal"/>
      <w:start w:val="13"/>
    </w:lvl>
  </w:abstractNum>
  <w:abstractNum w:abstractNumId="129">
    <w:nsid w:val="49C0E823"/>
    <w:multiLevelType w:val="hybridMultilevel"/>
    <w:lvl w:ilvl="0">
      <w:lvlJc w:val="left"/>
      <w:lvlText w:val="%1."/>
      <w:numFmt w:val="decimal"/>
      <w:start w:val="18"/>
    </w:lvl>
  </w:abstractNum>
  <w:abstractNum w:abstractNumId="130">
    <w:nsid w:val="14D53685"/>
    <w:multiLevelType w:val="hybridMultilevel"/>
    <w:lvl w:ilvl="0">
      <w:lvlJc w:val="left"/>
      <w:lvlText w:val="(%1)"/>
      <w:numFmt w:val="decimal"/>
      <w:start w:val="1"/>
    </w:lvl>
  </w:abstractNum>
  <w:abstractNum w:abstractNumId="131">
    <w:nsid w:val="230F856C"/>
    <w:multiLevelType w:val="hybridMultilevel"/>
    <w:lvl w:ilvl="0">
      <w:lvlJc w:val="left"/>
      <w:lvlText w:val="["/>
      <w:numFmt w:val="bullet"/>
      <w:start w:val="1"/>
    </w:lvl>
    <w:lvl w:ilvl="1">
      <w:lvlJc w:val="left"/>
      <w:lvlText w:val="(%2)"/>
      <w:numFmt w:val="upperLetter"/>
      <w:start w:val="2"/>
    </w:lvl>
  </w:abstractNum>
  <w:abstractNum w:abstractNumId="132">
    <w:nsid w:val="6EAA85FB"/>
    <w:multiLevelType w:val="hybridMultilevel"/>
    <w:lvl w:ilvl="0">
      <w:lvlJc w:val="left"/>
      <w:lvlText w:val="%1."/>
      <w:numFmt w:val="upperLetter"/>
      <w:start w:val="61"/>
    </w:lvl>
  </w:abstractNum>
  <w:abstractNum w:abstractNumId="133">
    <w:nsid w:val="3F06ECB2"/>
    <w:multiLevelType w:val="hybridMultilevel"/>
    <w:lvl w:ilvl="0">
      <w:lvlJc w:val="left"/>
      <w:lvlText w:val="*"/>
      <w:numFmt w:val="bullet"/>
      <w:start w:val="1"/>
    </w:lvl>
  </w:abstractNum>
  <w:abstractNum w:abstractNumId="134">
    <w:nsid w:val="3B594807"/>
    <w:multiLevelType w:val="hybridMultilevel"/>
    <w:lvl w:ilvl="0">
      <w:lvlJc w:val="left"/>
      <w:lvlText w:val="%1"/>
      <w:numFmt w:val="lowerLetter"/>
      <w:start w:val="1"/>
    </w:lvl>
    <w:lvl w:ilvl="1">
      <w:lvlJc w:val="left"/>
      <w:lvlText w:val="%2."/>
      <w:numFmt w:val="decimal"/>
      <w:start w:val="1"/>
    </w:lvl>
  </w:abstractNum>
  <w:abstractNum w:abstractNumId="135">
    <w:nsid w:val="6CAA2304"/>
    <w:multiLevelType w:val="hybridMultilevel"/>
    <w:lvl w:ilvl="0">
      <w:lvlJc w:val="left"/>
      <w:lvlText w:val="(%1)"/>
      <w:numFmt w:val="lowerLetter"/>
      <w:start w:val="1"/>
    </w:lvl>
    <w:lvl w:ilvl="1">
      <w:lvlJc w:val="left"/>
      <w:lvlText w:val="%2"/>
      <w:numFmt w:val="decimal"/>
      <w:start w:val="1"/>
    </w:lvl>
  </w:abstractNum>
  <w:abstractNum w:abstractNumId="136">
    <w:nsid w:val="3F7C2FF4"/>
    <w:multiLevelType w:val="hybridMultilevel"/>
    <w:lvl w:ilvl="0">
      <w:lvlJc w:val="left"/>
      <w:lvlText w:val="%1."/>
      <w:numFmt w:val="decimal"/>
      <w:start w:val="3"/>
    </w:lvl>
  </w:abstractNum>
  <w:abstractNum w:abstractNumId="137">
    <w:nsid w:val="25413BEC"/>
    <w:multiLevelType w:val="hybridMultilevel"/>
    <w:lvl w:ilvl="0">
      <w:lvlJc w:val="left"/>
      <w:lvlText w:val="%1."/>
      <w:numFmt w:val="decimal"/>
      <w:start w:val="7"/>
    </w:lvl>
  </w:abstractNum>
  <w:abstractNum w:abstractNumId="138">
    <w:nsid w:val="17180B0B"/>
    <w:multiLevelType w:val="hybridMultilevel"/>
    <w:lvl w:ilvl="0">
      <w:lvlJc w:val="left"/>
      <w:lvlText w:val="%1."/>
      <w:numFmt w:val="decimal"/>
      <w:start w:val="8"/>
    </w:lvl>
  </w:abstractNum>
  <w:abstractNum w:abstractNumId="139">
    <w:nsid w:val="579328B9"/>
    <w:multiLevelType w:val="hybridMultilevel"/>
    <w:lvl w:ilvl="0">
      <w:lvlJc w:val="left"/>
      <w:lvlText w:val="%1."/>
      <w:numFmt w:val="decimal"/>
      <w:start w:val="9"/>
    </w:lvl>
  </w:abstractNum>
  <w:abstractNum w:abstractNumId="140">
    <w:nsid w:val="5D205E20"/>
    <w:multiLevelType w:val="hybridMultilevel"/>
    <w:lvl w:ilvl="0">
      <w:lvlJc w:val="left"/>
      <w:lvlText w:val="%1."/>
      <w:numFmt w:val="decimal"/>
      <w:start w:val="11"/>
    </w:lvl>
  </w:abstractNum>
  <w:abstractNum w:abstractNumId="141">
    <w:nsid w:val="11CCA8BA"/>
    <w:multiLevelType w:val="hybridMultilevel"/>
    <w:lvl w:ilvl="0">
      <w:lvlJc w:val="left"/>
      <w:lvlText w:val="%1."/>
      <w:numFmt w:val="decimal"/>
      <w:start w:val="13"/>
    </w:lvl>
  </w:abstractNum>
  <w:abstractNum w:abstractNumId="142">
    <w:nsid w:val="4D32AB86"/>
    <w:multiLevelType w:val="hybridMultilevel"/>
    <w:lvl w:ilvl="0">
      <w:lvlJc w:val="left"/>
      <w:lvlText w:val="%1."/>
      <w:numFmt w:val="decimal"/>
      <w:start w:val="18"/>
    </w:lvl>
  </w:abstractNum>
  <w:abstractNum w:abstractNumId="143">
    <w:nsid w:val="3F07ACC3"/>
    <w:multiLevelType w:val="hybridMultilevel"/>
    <w:lvl w:ilvl="0">
      <w:lvlJc w:val="left"/>
      <w:lvlText w:val="(%1)"/>
      <w:numFmt w:val="decimal"/>
      <w:start w:val="1"/>
    </w:lvl>
  </w:abstractNum>
  <w:abstractNum w:abstractNumId="144">
    <w:nsid w:val="6B47F63E"/>
    <w:multiLevelType w:val="hybridMultilevel"/>
    <w:lvl w:ilvl="0">
      <w:lvlJc w:val="left"/>
      <w:lvlText w:val="["/>
      <w:numFmt w:val="bullet"/>
      <w:start w:val="1"/>
    </w:lvl>
    <w:lvl w:ilvl="1">
      <w:lvlJc w:val="left"/>
      <w:lvlText w:val="(%2)"/>
      <w:numFmt w:val="upperLetter"/>
      <w:start w:val="2"/>
    </w:lvl>
  </w:abstractNum>
  <w:abstractNum w:abstractNumId="145">
    <w:nsid w:val="5CB44A05"/>
    <w:multiLevelType w:val="hybridMultilevel"/>
    <w:lvl w:ilvl="0">
      <w:lvlJc w:val="left"/>
      <w:lvlText w:val="%1."/>
      <w:numFmt w:val="upperLetter"/>
      <w:start w:val="61"/>
    </w:lvl>
  </w:abstractNum>
  <w:abstractNum w:abstractNumId="146">
    <w:nsid w:val="16CF80F1"/>
    <w:multiLevelType w:val="hybridMultilevel"/>
    <w:lvl w:ilvl="0">
      <w:lvlJc w:val="left"/>
      <w:lvlText w:val="*"/>
      <w:numFmt w:val="bullet"/>
      <w:start w:val="1"/>
    </w:lvl>
  </w:abstractNum>
  <w:abstractNum w:abstractNumId="147">
    <w:nsid w:val="1C695DEC"/>
    <w:multiLevelType w:val="hybridMultilevel"/>
    <w:lvl w:ilvl="0">
      <w:lvlJc w:val="left"/>
      <w:lvlText w:val="(%1)"/>
      <w:numFmt w:val="decimal"/>
      <w:start w:val="1"/>
    </w:lvl>
  </w:abstractNum>
  <w:abstractNum w:abstractNumId="148">
    <w:nsid w:val="3FCFAED9"/>
    <w:multiLevelType w:val="hybridMultilevel"/>
    <w:lvl w:ilvl="0">
      <w:lvlJc w:val="left"/>
      <w:lvlText w:val="%1:"/>
      <w:numFmt w:val="lowerLetter"/>
      <w:start w:val="29"/>
    </w:lvl>
  </w:abstractNum>
  <w:abstractNum w:abstractNumId="149">
    <w:nsid w:val="F856867"/>
    <w:multiLevelType w:val="hybridMultilevel"/>
    <w:lvl w:ilvl="0">
      <w:lvlJc w:val="left"/>
      <w:lvlText w:val="%1:"/>
      <w:numFmt w:val="lowerLetter"/>
      <w:start w:val="29"/>
    </w:lvl>
  </w:abstractNum>
  <w:abstractNum w:abstractNumId="150">
    <w:nsid w:val="11B1CC33"/>
    <w:multiLevelType w:val="hybridMultilevel"/>
    <w:lvl w:ilvl="0">
      <w:lvlJc w:val="left"/>
      <w:lvlText w:val="%1:"/>
      <w:numFmt w:val="lowerLetter"/>
      <w:start w:val="29"/>
    </w:lvl>
  </w:abstractNum>
  <w:abstractNum w:abstractNumId="151">
    <w:nsid w:val="2E22FBB7"/>
    <w:multiLevelType w:val="hybridMultilevel"/>
    <w:lvl w:ilvl="0">
      <w:lvlJc w:val="left"/>
      <w:lvlText w:val="(%1)"/>
      <w:numFmt w:val="lowerRoman"/>
      <w:start w:val="1"/>
    </w:lvl>
  </w:abstractNum>
  <w:abstractNum w:abstractNumId="152">
    <w:nsid w:val="29934699"/>
    <w:multiLevelType w:val="hybridMultilevel"/>
    <w:lvl w:ilvl="0">
      <w:lvlJc w:val="left"/>
      <w:lvlText w:val="(%1)"/>
      <w:numFmt w:val="lowerRoman"/>
      <w:start w:val="6"/>
    </w:lvl>
  </w:abstractNum>
  <w:abstractNum w:abstractNumId="153">
    <w:nsid w:val="77485850"/>
    <w:multiLevelType w:val="hybridMultilevel"/>
    <w:lvl w:ilvl="0">
      <w:lvlJc w:val="left"/>
      <w:lvlText w:val="(%1)"/>
      <w:numFmt w:val="lowerLetter"/>
      <w:start w:val="1"/>
    </w:lvl>
  </w:abstractNum>
  <w:abstractNum w:abstractNumId="154">
    <w:nsid w:val="744939A3"/>
    <w:multiLevelType w:val="hybridMultilevel"/>
    <w:lvl w:ilvl="0">
      <w:lvlJc w:val="left"/>
      <w:lvlText w:val="(%1)"/>
      <w:numFmt w:val="lowerLetter"/>
      <w:start w:val="2"/>
    </w:lvl>
  </w:abstractNum>
  <w:abstractNum w:abstractNumId="155">
    <w:nsid w:val="4FA0D2E3"/>
    <w:multiLevelType w:val="hybridMultilevel"/>
    <w:lvl w:ilvl="0">
      <w:lvlJc w:val="left"/>
      <w:lvlText w:val="(%1)"/>
      <w:numFmt w:val="lowerLetter"/>
      <w:start w:val="1"/>
    </w:lvl>
    <w:lvl w:ilvl="1">
      <w:lvlJc w:val="left"/>
      <w:lvlText w:val="(%2)"/>
      <w:numFmt w:val="lowerRoman"/>
      <w:start w:val="1"/>
    </w:lvl>
  </w:abstractNum>
  <w:abstractNum w:abstractNumId="156">
    <w:nsid w:val="6B1D2C14"/>
    <w:multiLevelType w:val="hybridMultilevel"/>
    <w:lvl w:ilvl="0">
      <w:lvlJc w:val="left"/>
      <w:lvlText w:val="(%1)"/>
      <w:numFmt w:val="lowerRoman"/>
      <w:start w:val="4"/>
    </w:lvl>
  </w:abstractNum>
  <w:abstractNum w:abstractNumId="157">
    <w:nsid w:val="68B867D3"/>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7"/>
    </w:lvl>
  </w:abstractNum>
  <w:abstractNum w:abstractNumId="158">
    <w:nsid w:val="3F7F5DD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59">
    <w:nsid w:val="2AE05A34"/>
    <w:multiLevelType w:val="hybridMultilevel"/>
    <w:lvl w:ilvl="0">
      <w:lvlJc w:val="left"/>
      <w:lvlText w:val="%1"/>
      <w:numFmt w:val="upperLetter"/>
      <w:start w:val="1"/>
    </w:lvl>
    <w:lvl w:ilvl="1">
      <w:lvlJc w:val="left"/>
      <w:lvlText w:val="(%2)"/>
      <w:numFmt w:val="decimal"/>
      <w:start w:val="2"/>
    </w:lvl>
  </w:abstractNum>
  <w:abstractNum w:abstractNumId="160">
    <w:nsid w:val="32794FF7"/>
    <w:multiLevelType w:val="hybridMultilevel"/>
    <w:lvl w:ilvl="0">
      <w:lvlJc w:val="left"/>
      <w:lvlText w:val="(%1)"/>
      <w:numFmt w:val="upperLetter"/>
      <w:start w:val="2"/>
    </w:lvl>
    <w:lvl w:ilvl="1">
      <w:lvlJc w:val="left"/>
      <w:lvlText w:val="%2"/>
      <w:numFmt w:val="decimal"/>
      <w:start w:val="1"/>
    </w:lvl>
  </w:abstractNum>
  <w:abstractNum w:abstractNumId="161">
    <w:nsid w:val="5454945E"/>
    <w:multiLevelType w:val="hybridMultilevel"/>
    <w:lvl w:ilvl="0">
      <w:lvlJc w:val="left"/>
      <w:lvlText w:val="(%1)"/>
      <w:numFmt w:val="lowerRoman"/>
      <w:start w:val="12"/>
    </w:lvl>
  </w:abstractNum>
  <w:abstractNum w:abstractNumId="162">
    <w:nsid w:val="4DEFDFA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0"/>
    </w:lvl>
  </w:abstractNum>
  <w:abstractNum w:abstractNumId="163">
    <w:nsid w:val="2123D5F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64">
    <w:nsid w:val="135B8110"/>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65">
    <w:nsid w:val="94927A8"/>
    <w:multiLevelType w:val="hybridMultilevel"/>
    <w:lvl w:ilvl="0">
      <w:lvlJc w:val="left"/>
      <w:lvlText w:val="(%1)"/>
      <w:numFmt w:val="lowerLetter"/>
      <w:start w:val="1"/>
    </w:lvl>
  </w:abstractNum>
  <w:abstractNum w:abstractNumId="166">
    <w:nsid w:val="DCDF8F6"/>
    <w:multiLevelType w:val="hybridMultilevel"/>
    <w:lvl w:ilvl="0">
      <w:lvlJc w:val="left"/>
      <w:lvlText w:val="(%1)"/>
      <w:numFmt w:val="lowerLetter"/>
      <w:start w:val="2"/>
    </w:lvl>
  </w:abstractNum>
  <w:abstractNum w:abstractNumId="167">
    <w:nsid w:val="52D7B105"/>
    <w:multiLevelType w:val="hybridMultilevel"/>
    <w:lvl w:ilvl="0">
      <w:lvlJc w:val="left"/>
      <w:lvlText w:val="(%1)"/>
      <w:numFmt w:val="lowerLetter"/>
      <w:start w:val="1"/>
    </w:lvl>
  </w:abstractNum>
  <w:abstractNum w:abstractNumId="168">
    <w:nsid w:val="2E8A6394"/>
    <w:multiLevelType w:val="hybridMultilevel"/>
    <w:lvl w:ilvl="0">
      <w:lvlJc w:val="left"/>
      <w:lvlText w:val="(%1)"/>
      <w:numFmt w:val="lowerLetter"/>
      <w:start w:val="4"/>
    </w:lvl>
  </w:abstractNum>
  <w:abstractNum w:abstractNumId="169">
    <w:nsid w:val="24E60401"/>
    <w:multiLevelType w:val="hybridMultilevel"/>
    <w:lvl w:ilvl="0">
      <w:lvlJc w:val="left"/>
      <w:lvlText w:val="(%1)"/>
      <w:numFmt w:val="lowerLetter"/>
      <w:start w:val="1"/>
    </w:lvl>
  </w:abstractNum>
  <w:abstractNum w:abstractNumId="170">
    <w:nsid w:val="2A6AD9BE"/>
    <w:multiLevelType w:val="hybridMultilevel"/>
    <w:lvl w:ilvl="0">
      <w:lvlJc w:val="left"/>
      <w:lvlText w:val="(%1)"/>
      <w:numFmt w:val="lowerLetter"/>
      <w:start w:val="2"/>
    </w:lvl>
  </w:abstractNum>
  <w:abstractNum w:abstractNumId="171">
    <w:nsid w:val="BAAC1B4"/>
    <w:multiLevelType w:val="hybridMultilevel"/>
    <w:lvl w:ilvl="0">
      <w:lvlJc w:val="left"/>
      <w:lvlText w:val="(%1)"/>
      <w:numFmt w:val="lowerLetter"/>
      <w:start w:val="3"/>
    </w:lvl>
  </w:abstractNum>
  <w:abstractNum w:abstractNumId="172">
    <w:nsid w:val="36B2ACBC"/>
    <w:multiLevelType w:val="hybridMultilevel"/>
    <w:lvl w:ilvl="0">
      <w:lvlJc w:val="left"/>
      <w:lvlText w:val="(%1)"/>
      <w:numFmt w:val="lowerLetter"/>
      <w:start w:val="1"/>
    </w:lvl>
  </w:abstractNum>
  <w:abstractNum w:abstractNumId="173">
    <w:nsid w:val="779D8544"/>
    <w:multiLevelType w:val="hybridMultilevel"/>
    <w:lvl w:ilvl="0">
      <w:lvlJc w:val="left"/>
      <w:lvlText w:val="(%1)"/>
      <w:numFmt w:val="lowerRoman"/>
      <w:start w:val="1"/>
    </w:lvl>
  </w:abstractNum>
  <w:abstractNum w:abstractNumId="174">
    <w:nsid w:val="4AB26E78"/>
    <w:multiLevelType w:val="hybridMultilevel"/>
    <w:lvl w:ilvl="0">
      <w:lvlJc w:val="left"/>
      <w:lvlText w:val="(%1)"/>
      <w:numFmt w:val="lowerLetter"/>
      <w:start w:val="7"/>
    </w:lvl>
  </w:abstractNum>
  <w:abstractNum w:abstractNumId="175">
    <w:nsid w:val="21FAA2FA"/>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2019-12-14T23:48:06Z</dcterms:created>
  <dcterms:modified xsi:type="dcterms:W3CDTF">2019-12-14T23:48:06Z</dcterms:modified>
</cp:coreProperties>
</file>