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693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Howell Laura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AKAMAI TECHNOLOGIES,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145 BROADWAY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3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20,894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78.56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20,884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109.646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September 5,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6, 2022, Ms. Howell was granted 394 RSUs. Such RSUs vest over three years as follows: 1/3 on the first anniversary of the date of grant with the remaining 2/3 vesting in equal installments of 8-1/3% each quarter thereafter.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203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2025-09-08T18:27:43Z</dcterms:created>
  <dcterms:modified xsi:type="dcterms:W3CDTF">2025-09-08T18:27:43Z</dcterms:modified>
</cp:coreProperties>
</file>