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900"/>
        <w:spacing w:after="0" w:line="279" w:lineRule="auto"/>
        <w:rPr>
          <w:sz w:val="20"/>
          <w:szCs w:val="20"/>
          <w:color w:val="auto"/>
        </w:rPr>
      </w:pPr>
      <w:r>
        <w:rPr>
          <w:rFonts w:ascii="Times New Roman" w:cs="Times New Roman" w:eastAsia="Times New Roman" w:hAnsi="Times New Roman"/>
          <w:sz w:val="38"/>
          <w:szCs w:val="38"/>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3290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2905" cy="27940"/>
                    </a:xfrm>
                    <a:prstGeom prst="rect">
                      <a:avLst/>
                    </a:prstGeom>
                    <a:noFill/>
                  </pic:spPr>
                </pic:pic>
              </a:graphicData>
            </a:graphic>
          </wp:anchor>
        </w:drawing>
        <w:drawing>
          <wp:anchor simplePos="0" relativeHeight="251657728" behindDoc="1" locked="0" layoutInCell="0" allowOverlap="1">
            <wp:simplePos x="0" y="0"/>
            <wp:positionH relativeFrom="page">
              <wp:posOffset>410210</wp:posOffset>
            </wp:positionH>
            <wp:positionV relativeFrom="page">
              <wp:posOffset>631190</wp:posOffset>
            </wp:positionV>
            <wp:extent cx="673290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2905" cy="40640"/>
                    </a:xfrm>
                    <a:prstGeom prst="rect">
                      <a:avLst/>
                    </a:prstGeom>
                    <a:noFill/>
                  </pic:spPr>
                </pic:pic>
              </a:graphicData>
            </a:graphic>
          </wp:anchor>
        </w:drawing>
        <w:t>SECURITIES AND EXCHANGE COMMISSION Washington, D.C. 20549</w:t>
      </w: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29"/>
          <w:szCs w:val="29"/>
          <w:color w:val="auto"/>
        </w:rPr>
        <w:t>SCHEDULE 13G</w:t>
      </w: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23"/>
          <w:szCs w:val="23"/>
          <w:color w:val="auto"/>
        </w:rPr>
        <w:t>UNDER THE SECURITIES EXCHANGE ACT OF 1934</w:t>
      </w:r>
    </w:p>
    <w:p>
      <w:pPr>
        <w:spacing w:after="0" w:line="58"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9"/>
          <w:szCs w:val="19"/>
          <w:b w:val="1"/>
          <w:bCs w:val="1"/>
          <w:color w:val="auto"/>
        </w:rPr>
        <w:t xml:space="preserve">(Amendment No. </w:t>
      </w:r>
      <w:r>
        <w:rPr>
          <w:rFonts w:ascii="Times New Roman" w:cs="Times New Roman" w:eastAsia="Times New Roman" w:hAnsi="Times New Roman"/>
          <w:sz w:val="19"/>
          <w:szCs w:val="19"/>
          <w:b w:val="1"/>
          <w:bCs w:val="1"/>
          <w:color w:val="0000FF"/>
        </w:rPr>
        <w:t>15</w:t>
      </w:r>
      <w:r>
        <w:rPr>
          <w:rFonts w:ascii="Times New Roman" w:cs="Times New Roman" w:eastAsia="Times New Roman" w:hAnsi="Times New Roman"/>
          <w:sz w:val="19"/>
          <w:szCs w:val="19"/>
          <w:b w:val="1"/>
          <w:bCs w:val="1"/>
          <w:color w:val="auto"/>
        </w:rPr>
        <w:t>)*</w:t>
      </w:r>
    </w:p>
    <w:p>
      <w:pPr>
        <w:spacing w:after="0" w:line="200" w:lineRule="exact"/>
        <w:rPr>
          <w:sz w:val="24"/>
          <w:szCs w:val="24"/>
          <w:color w:val="auto"/>
        </w:rPr>
      </w:pPr>
    </w:p>
    <w:p>
      <w:pPr>
        <w:spacing w:after="0" w:line="314"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9"/>
          <w:szCs w:val="19"/>
          <w:b w:val="1"/>
          <w:bCs w:val="1"/>
          <w:color w:val="0000FF"/>
        </w:rPr>
        <w:t>Akamai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507111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71110" cy="40640"/>
                    </a:xfrm>
                    <a:prstGeom prst="rect">
                      <a:avLst/>
                    </a:prstGeom>
                    <a:noFill/>
                  </pic:spPr>
                </pic:pic>
              </a:graphicData>
            </a:graphic>
          </wp:anchor>
        </w:drawing>
      </w:r>
    </w:p>
    <w:p>
      <w:pPr>
        <w:spacing w:after="0" w:line="206"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9"/>
          <w:szCs w:val="19"/>
          <w:b w:val="1"/>
          <w:bCs w:val="1"/>
          <w:color w:val="auto"/>
        </w:rPr>
        <w:t>(Name of Issuer)</w:t>
      </w:r>
    </w:p>
    <w:p>
      <w:pPr>
        <w:spacing w:after="0" w:line="200" w:lineRule="exact"/>
        <w:rPr>
          <w:sz w:val="24"/>
          <w:szCs w:val="24"/>
          <w:color w:val="auto"/>
        </w:rPr>
      </w:pPr>
    </w:p>
    <w:p>
      <w:pPr>
        <w:spacing w:after="0" w:line="314"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9"/>
          <w:szCs w:val="19"/>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507111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71110" cy="40640"/>
                    </a:xfrm>
                    <a:prstGeom prst="rect">
                      <a:avLst/>
                    </a:prstGeom>
                    <a:noFill/>
                  </pic:spPr>
                </pic:pic>
              </a:graphicData>
            </a:graphic>
          </wp:anchor>
        </w:drawing>
      </w:r>
    </w:p>
    <w:p>
      <w:pPr>
        <w:spacing w:after="0" w:line="206"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9"/>
          <w:szCs w:val="19"/>
          <w:b w:val="1"/>
          <w:bCs w:val="1"/>
          <w:color w:val="auto"/>
        </w:rPr>
        <w:t>(Title of Class of Securities)</w:t>
      </w:r>
    </w:p>
    <w:p>
      <w:pPr>
        <w:spacing w:after="0" w:line="200" w:lineRule="exact"/>
        <w:rPr>
          <w:sz w:val="24"/>
          <w:szCs w:val="24"/>
          <w:color w:val="auto"/>
        </w:rPr>
      </w:pPr>
    </w:p>
    <w:p>
      <w:pPr>
        <w:spacing w:after="0" w:line="314"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9"/>
          <w:szCs w:val="19"/>
          <w:b w:val="1"/>
          <w:bCs w:val="1"/>
          <w:color w:val="0000FF"/>
        </w:rPr>
        <w:t>00971T101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507111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71110" cy="40640"/>
                    </a:xfrm>
                    <a:prstGeom prst="rect">
                      <a:avLst/>
                    </a:prstGeom>
                    <a:noFill/>
                  </pic:spPr>
                </pic:pic>
              </a:graphicData>
            </a:graphic>
          </wp:anchor>
        </w:drawing>
      </w:r>
    </w:p>
    <w:p>
      <w:pPr>
        <w:spacing w:after="0" w:line="206"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9"/>
          <w:szCs w:val="19"/>
          <w:b w:val="1"/>
          <w:bCs w:val="1"/>
          <w:color w:val="auto"/>
        </w:rPr>
        <w:t>(CUSIP Number)</w:t>
      </w:r>
    </w:p>
    <w:p>
      <w:pPr>
        <w:spacing w:after="0" w:line="200" w:lineRule="exact"/>
        <w:rPr>
          <w:sz w:val="24"/>
          <w:szCs w:val="24"/>
          <w:color w:val="auto"/>
        </w:rPr>
      </w:pPr>
    </w:p>
    <w:p>
      <w:pPr>
        <w:spacing w:after="0" w:line="314"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9"/>
          <w:szCs w:val="19"/>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64135</wp:posOffset>
            </wp:positionV>
            <wp:extent cx="507111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71110" cy="40640"/>
                    </a:xfrm>
                    <a:prstGeom prst="rect">
                      <a:avLst/>
                    </a:prstGeom>
                    <a:noFill/>
                  </pic:spPr>
                </pic:pic>
              </a:graphicData>
            </a:graphic>
          </wp:anchor>
        </w:drawing>
      </w:r>
    </w:p>
    <w:p>
      <w:pPr>
        <w:spacing w:after="0" w:line="206"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9"/>
          <w:szCs w:val="19"/>
          <w:b w:val="1"/>
          <w:bCs w:val="1"/>
          <w:color w:val="auto"/>
        </w:rPr>
        <w:t>(Date of Event Which Requires Filing of this Statement)</w:t>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Check the appropriate box to designate the rule pursuant to which this Schedule is filed:</w:t>
      </w:r>
    </w:p>
    <w:p>
      <w:pPr>
        <w:spacing w:after="0" w:line="5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9"/>
          <w:szCs w:val="19"/>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114300"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9"/>
          <w:szCs w:val="19"/>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114300"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9"/>
          <w:szCs w:val="19"/>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85725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161925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-129540</wp:posOffset>
            </wp:positionV>
            <wp:extent cx="114300"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23"/>
          <w:szCs w:val="23"/>
          <w:color w:val="auto"/>
        </w:rPr>
        <w:t>SCHEDULE 13G</w:t>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CUSIP No. </w:t>
      </w:r>
      <w:r>
        <w:rPr>
          <w:rFonts w:ascii="Times New Roman" w:cs="Times New Roman" w:eastAsia="Times New Roman" w:hAnsi="Times New Roman"/>
          <w:sz w:val="16"/>
          <w:szCs w:val="16"/>
          <w:color w:val="auto"/>
        </w:rPr>
        <w:t>00971T101</w:t>
      </w:r>
    </w:p>
    <w:p>
      <w:pPr>
        <w:spacing w:after="0" w:line="200" w:lineRule="exact"/>
        <w:rPr>
          <w:sz w:val="24"/>
          <w:szCs w:val="24"/>
          <w:color w:val="auto"/>
        </w:rPr>
      </w:pPr>
    </w:p>
    <w:p>
      <w:pPr>
        <w:spacing w:after="0" w:line="340"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9"/>
          <w:szCs w:val="19"/>
          <w:color w:val="auto"/>
        </w:rPr>
        <w:t>Names of Reporting Persons</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1</w:t>
      </w:r>
    </w:p>
    <w:p>
      <w:pPr>
        <w:spacing w:after="0" w:line="10"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9"/>
          <w:szCs w:val="19"/>
          <w:color w:val="auto"/>
        </w:rPr>
        <w:t>The Vanguard Group</w:t>
      </w:r>
    </w:p>
    <w:p>
      <w:pPr>
        <w:spacing w:after="0" w:line="36"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9"/>
          <w:szCs w:val="19"/>
          <w:color w:val="auto"/>
        </w:rPr>
        <w:t>Check the appropriate box if a member of a Group (see instructions)</w:t>
      </w:r>
    </w:p>
    <w:p>
      <w:pPr>
        <w:spacing w:after="0" w:line="51" w:lineRule="exact"/>
        <w:rPr>
          <w:sz w:val="24"/>
          <w:szCs w:val="24"/>
          <w:color w:val="auto"/>
        </w:rPr>
      </w:pPr>
    </w:p>
    <w:p>
      <w:pPr>
        <w:ind w:left="980" w:hanging="978"/>
        <w:spacing w:after="0"/>
        <w:tabs>
          <w:tab w:leader="none" w:pos="980" w:val="left"/>
        </w:tabs>
        <w:numPr>
          <w:ilvl w:val="0"/>
          <w:numId w:val="1"/>
        </w:numPr>
        <w:rPr>
          <w:rFonts w:ascii="Times New Roman" w:cs="Times New Roman" w:eastAsia="Times New Roman" w:hAnsi="Times New Roman"/>
          <w:sz w:val="38"/>
          <w:szCs w:val="38"/>
          <w:color w:val="auto"/>
          <w:vertAlign w:val="superscript"/>
        </w:rPr>
      </w:pPr>
      <w:r>
        <w:rPr>
          <w:sz w:val="1"/>
          <w:szCs w:val="1"/>
          <w:color w:val="auto"/>
        </w:rPr>
        <w:drawing>
          <wp:inline distT="0" distB="0" distL="0" distR="0">
            <wp:extent cx="114300" cy="114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(a)</w:t>
      </w:r>
    </w:p>
    <w:p>
      <w:pPr>
        <w:ind w:left="980"/>
        <w:spacing w:after="0"/>
        <w:rPr>
          <w:rFonts w:ascii="Times New Roman" w:cs="Times New Roman" w:eastAsia="Times New Roman" w:hAnsi="Times New Roman"/>
          <w:sz w:val="38"/>
          <w:szCs w:val="38"/>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14300" cy="114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(b)</w:t>
      </w:r>
    </w:p>
    <w:p>
      <w:pPr>
        <w:spacing w:after="0" w:line="42" w:lineRule="exact"/>
        <w:rPr>
          <w:sz w:val="24"/>
          <w:szCs w:val="24"/>
          <w:color w:val="auto"/>
        </w:rPr>
      </w:pPr>
    </w:p>
    <w:p>
      <w:pPr>
        <w:ind w:left="980" w:hanging="978"/>
        <w:spacing w:after="0"/>
        <w:tabs>
          <w:tab w:leader="none" w:pos="98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 Use Only</w:t>
      </w:r>
    </w:p>
    <w:p>
      <w:pPr>
        <w:spacing w:after="0" w:line="238"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9"/>
          <w:szCs w:val="19"/>
          <w:color w:val="auto"/>
        </w:rPr>
        <w:t>Citizenship or Place of Organization</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4</w:t>
      </w:r>
    </w:p>
    <w:p>
      <w:pPr>
        <w:spacing w:after="0" w:line="10"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9"/>
          <w:szCs w:val="19"/>
          <w:color w:val="auto"/>
        </w:rPr>
        <w:t>PENNSYLVANIA</w:t>
      </w:r>
    </w:p>
    <w:p>
      <w:pPr>
        <w:sectPr>
          <w:pgSz w:w="11900" w:h="16840" w:orient="portrait"/>
          <w:cols w:equalWidth="0" w:num="1">
            <w:col w:w="9760"/>
          </w:cols>
          <w:pgMar w:left="700" w:top="1132" w:right="1440" w:bottom="414"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1"/>
        </w:trPr>
        <w:tc>
          <w:tcPr>
            <w:tcW w:w="980" w:type="dxa"/>
            <w:vAlign w:val="bottom"/>
          </w:tcPr>
          <w:p>
            <w:pPr>
              <w:spacing w:after="0"/>
              <w:rPr>
                <w:sz w:val="21"/>
                <w:szCs w:val="2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18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Sole Voting Power</w:t>
            </w: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0.00</w:t>
            </w:r>
          </w:p>
        </w:tc>
        <w:tc>
          <w:tcPr>
            <w:tcW w:w="0" w:type="dxa"/>
            <w:vAlign w:val="bottom"/>
          </w:tcPr>
          <w:p>
            <w:pPr>
              <w:spacing w:after="0"/>
              <w:rPr>
                <w:sz w:val="1"/>
                <w:szCs w:val="1"/>
                <w:color w:val="auto"/>
              </w:rPr>
            </w:pPr>
          </w:p>
        </w:tc>
      </w:tr>
      <w:tr>
        <w:trPr>
          <w:trHeight w:val="228"/>
        </w:trPr>
        <w:tc>
          <w:tcPr>
            <w:tcW w:w="9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Number of</w:t>
            </w:r>
          </w:p>
        </w:tc>
        <w:tc>
          <w:tcPr>
            <w:tcW w:w="20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9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Shared Voting Power</w:t>
            </w:r>
          </w:p>
        </w:tc>
        <w:tc>
          <w:tcPr>
            <w:tcW w:w="0" w:type="dxa"/>
            <w:vAlign w:val="bottom"/>
          </w:tcPr>
          <w:p>
            <w:pPr>
              <w:spacing w:after="0"/>
              <w:rPr>
                <w:sz w:val="1"/>
                <w:szCs w:val="1"/>
                <w:color w:val="auto"/>
              </w:rPr>
            </w:pPr>
          </w:p>
        </w:tc>
      </w:tr>
      <w:tr>
        <w:trPr>
          <w:trHeight w:val="119"/>
        </w:trPr>
        <w:tc>
          <w:tcPr>
            <w:tcW w:w="9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Shares</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w:t>
            </w: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20"/>
                <w:szCs w:val="20"/>
                <w:color w:val="auto"/>
              </w:rPr>
            </w:pPr>
            <w:r>
              <w:rPr>
                <w:rFonts w:ascii="Times New Roman" w:cs="Times New Roman" w:eastAsia="Times New Roman" w:hAnsi="Times New Roman"/>
                <w:sz w:val="19"/>
                <w:szCs w:val="19"/>
                <w:color w:val="auto"/>
              </w:rPr>
              <w:t>Beneficially</w:t>
            </w:r>
          </w:p>
        </w:tc>
        <w:tc>
          <w:tcPr>
            <w:tcW w:w="200" w:type="dxa"/>
            <w:vAlign w:val="bottom"/>
            <w:vMerge w:val="continue"/>
          </w:tcPr>
          <w:p>
            <w:pPr>
              <w:spacing w:after="0"/>
              <w:rPr>
                <w:sz w:val="19"/>
                <w:szCs w:val="19"/>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840,071.00</w:t>
            </w:r>
          </w:p>
        </w:tc>
        <w:tc>
          <w:tcPr>
            <w:tcW w:w="0" w:type="dxa"/>
            <w:vAlign w:val="bottom"/>
          </w:tcPr>
          <w:p>
            <w:pPr>
              <w:spacing w:after="0"/>
              <w:rPr>
                <w:sz w:val="1"/>
                <w:szCs w:val="1"/>
                <w:color w:val="auto"/>
              </w:rPr>
            </w:pPr>
          </w:p>
        </w:tc>
      </w:tr>
      <w:tr>
        <w:trPr>
          <w:trHeight w:val="119"/>
        </w:trPr>
        <w:tc>
          <w:tcPr>
            <w:tcW w:w="9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Owned by</w:t>
            </w:r>
          </w:p>
        </w:tc>
        <w:tc>
          <w:tcPr>
            <w:tcW w:w="20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9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w w:val="99"/>
              </w:rPr>
              <w:t>Sole Dispositive Power</w:t>
            </w:r>
          </w:p>
        </w:tc>
        <w:tc>
          <w:tcPr>
            <w:tcW w:w="0" w:type="dxa"/>
            <w:vAlign w:val="bottom"/>
          </w:tcPr>
          <w:p>
            <w:pPr>
              <w:spacing w:after="0"/>
              <w:rPr>
                <w:sz w:val="1"/>
                <w:szCs w:val="1"/>
                <w:color w:val="auto"/>
              </w:rPr>
            </w:pPr>
          </w:p>
        </w:tc>
      </w:tr>
      <w:tr>
        <w:trPr>
          <w:trHeight w:val="167"/>
        </w:trPr>
        <w:tc>
          <w:tcPr>
            <w:tcW w:w="9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Each</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98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9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Reporting</w:t>
            </w:r>
          </w:p>
        </w:tc>
        <w:tc>
          <w:tcPr>
            <w:tcW w:w="200" w:type="dxa"/>
            <w:vAlign w:val="bottom"/>
            <w:vMerge w:val="continue"/>
          </w:tcPr>
          <w:p>
            <w:pPr>
              <w:spacing w:after="0"/>
              <w:rPr>
                <w:sz w:val="14"/>
                <w:szCs w:val="14"/>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17,169,204.00</w:t>
            </w:r>
          </w:p>
        </w:tc>
        <w:tc>
          <w:tcPr>
            <w:tcW w:w="0" w:type="dxa"/>
            <w:vAlign w:val="bottom"/>
          </w:tcPr>
          <w:p>
            <w:pPr>
              <w:spacing w:after="0"/>
              <w:rPr>
                <w:sz w:val="1"/>
                <w:szCs w:val="1"/>
                <w:color w:val="auto"/>
              </w:rPr>
            </w:pPr>
          </w:p>
        </w:tc>
      </w:tr>
      <w:tr>
        <w:trPr>
          <w:trHeight w:val="61"/>
        </w:trPr>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9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Person</w:t>
            </w:r>
          </w:p>
        </w:tc>
        <w:tc>
          <w:tcPr>
            <w:tcW w:w="2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9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Shared Dispositive</w:t>
            </w:r>
          </w:p>
        </w:tc>
        <w:tc>
          <w:tcPr>
            <w:tcW w:w="0" w:type="dxa"/>
            <w:vAlign w:val="bottom"/>
          </w:tcPr>
          <w:p>
            <w:pPr>
              <w:spacing w:after="0"/>
              <w:rPr>
                <w:sz w:val="1"/>
                <w:szCs w:val="1"/>
                <w:color w:val="auto"/>
              </w:rPr>
            </w:pPr>
          </w:p>
        </w:tc>
      </w:tr>
      <w:tr>
        <w:trPr>
          <w:trHeight w:val="193"/>
        </w:trPr>
        <w:tc>
          <w:tcPr>
            <w:tcW w:w="980" w:type="dxa"/>
            <w:vAlign w:val="bottom"/>
          </w:tcPr>
          <w:p>
            <w:pPr>
              <w:spacing w:after="0" w:line="193" w:lineRule="exact"/>
              <w:rPr>
                <w:sz w:val="20"/>
                <w:szCs w:val="20"/>
                <w:color w:val="auto"/>
              </w:rPr>
            </w:pPr>
            <w:r>
              <w:rPr>
                <w:rFonts w:ascii="Times New Roman" w:cs="Times New Roman" w:eastAsia="Times New Roman" w:hAnsi="Times New Roman"/>
                <w:sz w:val="19"/>
                <w:szCs w:val="19"/>
                <w:color w:val="auto"/>
              </w:rPr>
              <w:t>With:</w:t>
            </w:r>
          </w:p>
        </w:tc>
        <w:tc>
          <w:tcPr>
            <w:tcW w:w="20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9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18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Power</w:t>
            </w:r>
          </w:p>
        </w:tc>
        <w:tc>
          <w:tcPr>
            <w:tcW w:w="0" w:type="dxa"/>
            <w:vAlign w:val="bottom"/>
          </w:tcPr>
          <w:p>
            <w:pPr>
              <w:spacing w:after="0"/>
              <w:rPr>
                <w:sz w:val="1"/>
                <w:szCs w:val="1"/>
                <w:color w:val="auto"/>
              </w:rPr>
            </w:pPr>
          </w:p>
        </w:tc>
      </w:tr>
      <w:tr>
        <w:trPr>
          <w:trHeight w:val="348"/>
        </w:trPr>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1,207,555.00</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Aggregate Amount Beneficially Owned by Each Reporting Person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9</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18,376,759.00</w:t>
      </w:r>
    </w:p>
    <w:p>
      <w:pPr>
        <w:spacing w:after="0" w:line="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Check box if the aggregate amount in row (9) excludes certain shares (See Instructions)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626110</wp:posOffset>
            </wp:positionH>
            <wp:positionV relativeFrom="paragraph">
              <wp:posOffset>15875</wp:posOffset>
            </wp:positionV>
            <wp:extent cx="11430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Percent of class represented by amount in row (9)</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11</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12.81 %</w:t>
      </w:r>
    </w:p>
    <w:p>
      <w:pPr>
        <w:spacing w:after="0" w:line="3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Type of Reporting Person (See Instructions)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rPr>
        <w:t>SCHEDULE 13G</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1.</w:t>
      </w:r>
    </w:p>
    <w:p>
      <w:pPr>
        <w:spacing w:after="0" w:line="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Name of issuer: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Akamai Technologies Inc</w:t>
      </w: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Address of issuer's principal executive offices: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150 Broadway, Cambridge, MA, 02142</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2.</w:t>
      </w:r>
    </w:p>
    <w:p>
      <w:pPr>
        <w:spacing w:after="0" w:line="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Name of person filing: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The Vanguard Group</w:t>
      </w: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Address or principal business office or, if none, residence: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100 Vanguard Blvd., Malvern, PA 19355</w:t>
      </w: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Citizenship: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PA</w:t>
      </w: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Title of class of securities: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Common Stock</w:t>
      </w: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CUSIP No.: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w:t>
      </w:r>
    </w:p>
    <w:p>
      <w:pPr>
        <w:spacing w:after="0" w:line="1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9"/>
          <w:szCs w:val="19"/>
          <w:color w:val="auto"/>
        </w:rPr>
        <w:t>00971T101</w:t>
      </w:r>
    </w:p>
    <w:p>
      <w:pPr>
        <w:spacing w:after="0" w:line="3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9"/>
          <w:szCs w:val="19"/>
          <w:color w:val="auto"/>
        </w:rPr>
        <w:t>Item 3.</w:t>
      </w:r>
      <w:r>
        <w:rPr>
          <w:sz w:val="20"/>
          <w:szCs w:val="20"/>
          <w:color w:val="auto"/>
        </w:rPr>
        <w:tab/>
      </w:r>
      <w:r>
        <w:rPr>
          <w:rFonts w:ascii="Times New Roman" w:cs="Times New Roman" w:eastAsia="Times New Roman" w:hAnsi="Times New Roman"/>
          <w:sz w:val="19"/>
          <w:szCs w:val="19"/>
          <w:color w:val="auto"/>
        </w:rPr>
        <w:t>If this statement is filed pursuant to Â§Â§ 240.13d-1(b) or 240.13d-2(b) or (c), check whether the person filing is a:</w:t>
      </w:r>
    </w:p>
    <w:p>
      <w:pPr>
        <w:spacing w:after="0" w:line="58" w:lineRule="exact"/>
        <w:rPr>
          <w:sz w:val="20"/>
          <w:szCs w:val="20"/>
          <w:color w:val="auto"/>
        </w:rPr>
      </w:pPr>
    </w:p>
    <w:p>
      <w:pPr>
        <w:ind w:left="860" w:hanging="858"/>
        <w:spacing w:after="0"/>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114300" cy="1143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Broker or dealer registered under section 15 of the Act (15 U.S.C. 78o);</w:t>
      </w:r>
    </w:p>
    <w:p>
      <w:pPr>
        <w:spacing w:after="0" w:line="54" w:lineRule="exact"/>
        <w:rPr>
          <w:rFonts w:ascii="Times New Roman" w:cs="Times New Roman" w:eastAsia="Times New Roman" w:hAnsi="Times New Roman"/>
          <w:sz w:val="19"/>
          <w:szCs w:val="19"/>
          <w:color w:val="auto"/>
        </w:rPr>
      </w:pPr>
    </w:p>
    <w:p>
      <w:pPr>
        <w:ind w:left="860" w:hanging="858"/>
        <w:spacing w:after="0"/>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114300" cy="114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Bank as defined in section 3(a)(6) of the Act (15 U.S.C. 78c);</w:t>
      </w:r>
    </w:p>
    <w:p>
      <w:pPr>
        <w:spacing w:after="0" w:line="54" w:lineRule="exact"/>
        <w:rPr>
          <w:rFonts w:ascii="Times New Roman" w:cs="Times New Roman" w:eastAsia="Times New Roman" w:hAnsi="Times New Roman"/>
          <w:sz w:val="19"/>
          <w:szCs w:val="19"/>
          <w:color w:val="auto"/>
        </w:rPr>
      </w:pPr>
    </w:p>
    <w:p>
      <w:pPr>
        <w:ind w:left="860" w:hanging="858"/>
        <w:spacing w:after="0"/>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114300" cy="114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Insurance company as defined in section 3(a)(19) of the Act (15 U.S.C. 78c);</w:t>
      </w:r>
    </w:p>
    <w:p>
      <w:pPr>
        <w:spacing w:after="0" w:line="54" w:lineRule="exact"/>
        <w:rPr>
          <w:rFonts w:ascii="Times New Roman" w:cs="Times New Roman" w:eastAsia="Times New Roman" w:hAnsi="Times New Roman"/>
          <w:sz w:val="19"/>
          <w:szCs w:val="19"/>
          <w:color w:val="auto"/>
        </w:rPr>
      </w:pPr>
    </w:p>
    <w:p>
      <w:pPr>
        <w:ind w:left="860" w:hanging="858"/>
        <w:spacing w:after="0"/>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114300" cy="1143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Investment company registered under section 8 of the Investment Company Act of 1940 (15 U.S.C. 80a-8);</w:t>
      </w:r>
    </w:p>
    <w:p>
      <w:pPr>
        <w:spacing w:after="0" w:line="54" w:lineRule="exact"/>
        <w:rPr>
          <w:rFonts w:ascii="Times New Roman" w:cs="Times New Roman" w:eastAsia="Times New Roman" w:hAnsi="Times New Roman"/>
          <w:sz w:val="19"/>
          <w:szCs w:val="19"/>
          <w:color w:val="auto"/>
        </w:rPr>
      </w:pPr>
    </w:p>
    <w:p>
      <w:pPr>
        <w:ind w:left="860" w:hanging="858"/>
        <w:spacing w:after="0"/>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114300" cy="1143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An investment adviser in accordance with Â§ 240.13d-1(b)(1)(ii)(E);</w:t>
      </w:r>
    </w:p>
    <w:p>
      <w:pPr>
        <w:spacing w:after="0" w:line="54" w:lineRule="exact"/>
        <w:rPr>
          <w:rFonts w:ascii="Times New Roman" w:cs="Times New Roman" w:eastAsia="Times New Roman" w:hAnsi="Times New Roman"/>
          <w:sz w:val="19"/>
          <w:szCs w:val="19"/>
          <w:color w:val="auto"/>
        </w:rPr>
      </w:pPr>
    </w:p>
    <w:p>
      <w:pPr>
        <w:ind w:left="860" w:hanging="858"/>
        <w:spacing w:after="0"/>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114300" cy="114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An employee benefit plan or endowment fund in accordance with Â§ 240.13d-1(b)(1)(ii)(F);</w:t>
      </w:r>
    </w:p>
    <w:p>
      <w:pPr>
        <w:spacing w:after="0" w:line="54" w:lineRule="exact"/>
        <w:rPr>
          <w:rFonts w:ascii="Times New Roman" w:cs="Times New Roman" w:eastAsia="Times New Roman" w:hAnsi="Times New Roman"/>
          <w:sz w:val="19"/>
          <w:szCs w:val="19"/>
          <w:color w:val="auto"/>
        </w:rPr>
      </w:pPr>
    </w:p>
    <w:p>
      <w:pPr>
        <w:ind w:left="860" w:hanging="858"/>
        <w:spacing w:after="0"/>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114300" cy="1143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A parent holding company or control person in accordance with Â§ 240.13d-1(b)(1)(ii)(G);</w:t>
      </w:r>
    </w:p>
    <w:p>
      <w:pPr>
        <w:spacing w:after="0" w:line="54" w:lineRule="exact"/>
        <w:rPr>
          <w:rFonts w:ascii="Times New Roman" w:cs="Times New Roman" w:eastAsia="Times New Roman" w:hAnsi="Times New Roman"/>
          <w:sz w:val="19"/>
          <w:szCs w:val="19"/>
          <w:color w:val="auto"/>
        </w:rPr>
      </w:pPr>
    </w:p>
    <w:p>
      <w:pPr>
        <w:ind w:left="860" w:hanging="858"/>
        <w:spacing w:after="0"/>
        <w:tabs>
          <w:tab w:leader="none" w:pos="8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
          <w:szCs w:val="1"/>
          <w:color w:val="auto"/>
        </w:rPr>
        <w:drawing>
          <wp:inline distT="0" distB="0" distL="0" distR="0">
            <wp:extent cx="114300" cy="1143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A savings associations as defined in Section 3(b) of the Federal Deposit Insurance Act (12 U.S.C. 1813);</w:t>
      </w:r>
    </w:p>
    <w:p>
      <w:pPr>
        <w:sectPr>
          <w:pgSz w:w="11900" w:h="16840" w:orient="portrait"/>
          <w:cols w:equalWidth="0" w:num="1">
            <w:col w:w="9760"/>
          </w:cols>
          <w:pgMar w:left="700" w:top="604" w:right="1440" w:bottom="289" w:gutter="0" w:footer="0" w:header="0"/>
        </w:sectPr>
      </w:pPr>
    </w:p>
    <w:bookmarkStart w:id="2" w:name="page3"/>
    <w:bookmarkEnd w:id="2"/>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4.</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5.</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7.</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8.</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9.</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Item 10.</w:t>
      </w:r>
    </w:p>
    <w:p>
      <w:pPr>
        <w:spacing w:after="0" w:line="20" w:lineRule="exact"/>
        <w:rPr>
          <w:sz w:val="20"/>
          <w:szCs w:val="20"/>
          <w:color w:val="auto"/>
        </w:rPr>
      </w:pPr>
      <w:r>
        <w:rPr>
          <w:sz w:val="20"/>
          <w:szCs w:val="20"/>
          <w:color w:val="auto"/>
        </w:rPr>
        <w:br w:type="column"/>
      </w:r>
    </w:p>
    <w:p>
      <w:pPr>
        <w:ind w:right="240"/>
        <w:spacing w:after="0" w:line="275" w:lineRule="auto"/>
        <w:rPr>
          <w:sz w:val="20"/>
          <w:szCs w:val="20"/>
          <w:color w:val="auto"/>
        </w:rPr>
      </w:pPr>
      <w:r>
        <w:rPr>
          <w:sz w:val="1"/>
          <w:szCs w:val="1"/>
          <w:color w:val="auto"/>
        </w:rPr>
        <w:drawing>
          <wp:inline distT="0" distB="0" distL="0" distR="0">
            <wp:extent cx="114300" cy="1143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A church plan that is excluded from the definition of an investment company under section 3(c)(14) of the Investment Company Act of 1940 (15 U.S.C. 80a-3);</w:t>
      </w:r>
    </w:p>
    <w:p>
      <w:pPr>
        <w:spacing w:after="0" w:line="1" w:lineRule="exact"/>
        <w:rPr>
          <w:sz w:val="20"/>
          <w:szCs w:val="20"/>
          <w:color w:val="auto"/>
        </w:rPr>
      </w:pPr>
    </w:p>
    <w:p>
      <w:pPr>
        <w:ind w:right="400"/>
        <w:spacing w:after="0" w:line="261" w:lineRule="auto"/>
        <w:rPr>
          <w:sz w:val="20"/>
          <w:szCs w:val="20"/>
          <w:color w:val="auto"/>
        </w:rPr>
      </w:pPr>
      <w:r>
        <w:rPr>
          <w:sz w:val="1"/>
          <w:szCs w:val="1"/>
          <w:color w:val="auto"/>
        </w:rPr>
        <w:drawing>
          <wp:inline distT="0" distB="0" distL="0" distR="0">
            <wp:extent cx="114300" cy="1143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4300" cy="11430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A non-U.S. institution in accordance with Â§ 240.13d-1(b)(1)(ii)(J). If filing as a non-U.S. institution in accordance with Â§ 240.13d-1(b)(1)(ii)(J),</w:t>
      </w:r>
    </w:p>
    <w:p>
      <w:pPr>
        <w:ind w:left="340"/>
        <w:spacing w:after="0"/>
        <w:rPr>
          <w:sz w:val="20"/>
          <w:szCs w:val="20"/>
          <w:color w:val="auto"/>
        </w:rPr>
      </w:pPr>
      <w:r>
        <w:rPr>
          <w:rFonts w:ascii="Times New Roman" w:cs="Times New Roman" w:eastAsia="Times New Roman" w:hAnsi="Times New Roman"/>
          <w:sz w:val="19"/>
          <w:szCs w:val="19"/>
          <w:color w:val="auto"/>
        </w:rPr>
        <w:t>please specify the type of institution:</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9"/>
          <w:szCs w:val="19"/>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-129540</wp:posOffset>
            </wp:positionV>
            <wp:extent cx="114300"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Ownership</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Amount beneficially owned: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18376759</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Percent of class: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12.81 %</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Number of shares as to which the person has:</w:t>
      </w:r>
    </w:p>
    <w:p>
      <w:pPr>
        <w:spacing w:after="0" w:line="58" w:lineRule="exact"/>
        <w:rPr>
          <w:sz w:val="20"/>
          <w:szCs w:val="20"/>
          <w:color w:val="auto"/>
        </w:rPr>
      </w:pPr>
    </w:p>
    <w:p>
      <w:pPr>
        <w:ind w:left="240" w:hanging="234"/>
        <w:spacing w:after="0"/>
        <w:tabs>
          <w:tab w:leader="none" w:pos="2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Sole power to vote or to direct the vote:</w:t>
      </w:r>
    </w:p>
    <w:p>
      <w:pPr>
        <w:spacing w:after="0" w:line="2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0</w:t>
      </w:r>
    </w:p>
    <w:p>
      <w:pPr>
        <w:spacing w:after="0" w:line="285" w:lineRule="exact"/>
        <w:rPr>
          <w:rFonts w:ascii="Times New Roman" w:cs="Times New Roman" w:eastAsia="Times New Roman" w:hAnsi="Times New Roman"/>
          <w:sz w:val="19"/>
          <w:szCs w:val="19"/>
          <w:color w:val="auto"/>
        </w:rPr>
      </w:pPr>
    </w:p>
    <w:p>
      <w:pPr>
        <w:ind w:right="6120" w:firstLine="6"/>
        <w:spacing w:after="0" w:line="527" w:lineRule="auto"/>
        <w:tabs>
          <w:tab w:leader="none" w:pos="28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Shared power to vote or to direct the vote: 840071</w:t>
      </w:r>
    </w:p>
    <w:p>
      <w:pPr>
        <w:ind w:right="5280" w:firstLine="6"/>
        <w:spacing w:after="0" w:line="527" w:lineRule="auto"/>
        <w:tabs>
          <w:tab w:leader="none" w:pos="336"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Sole power to dispose or to direct the disposition of: 17169204</w:t>
      </w:r>
    </w:p>
    <w:p>
      <w:pPr>
        <w:ind w:right="5100" w:firstLine="6"/>
        <w:spacing w:after="0" w:line="527" w:lineRule="auto"/>
        <w:tabs>
          <w:tab w:leader="none" w:pos="325"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Shared power to dispose or to direct the disposition of: 1207555</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Ownership of 5 Percent or Less of a Class.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Ownership of more than 5 Percent on Behalf of Another Person.</w:t>
      </w:r>
    </w:p>
    <w:p>
      <w:pPr>
        <w:spacing w:after="0" w:line="5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9"/>
          <w:szCs w:val="19"/>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18"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9"/>
          <w:szCs w:val="19"/>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74"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9"/>
          <w:szCs w:val="19"/>
          <w:color w:val="auto"/>
        </w:rPr>
        <w:t>Identification and Classification of the Subsidiary Which Acquired the Security Being Reported on by the Parent Holding Company or Control Person.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Identification and Classification of Members of the Group.</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Notice of Dissolution of Group.</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Certifications:</w:t>
      </w:r>
    </w:p>
    <w:p>
      <w:pPr>
        <w:spacing w:after="0" w:line="5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0" w:lineRule="exact"/>
        <w:rPr>
          <w:sz w:val="20"/>
          <w:szCs w:val="20"/>
          <w:color w:val="auto"/>
        </w:rPr>
      </w:pPr>
    </w:p>
    <w:p>
      <w:pPr>
        <w:sectPr>
          <w:pgSz w:w="11900" w:h="16840" w:orient="portrait"/>
          <w:cols w:equalWidth="0" w:num="2">
            <w:col w:w="640" w:space="220"/>
            <w:col w:w="9640"/>
          </w:cols>
          <w:pgMar w:left="700" w:top="568" w:right="700" w:bottom="388" w:gutter="0" w:footer="0" w:header="0"/>
        </w:sectPr>
      </w:pPr>
    </w:p>
    <w:p>
      <w:pPr>
        <w:spacing w:after="0" w:line="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SIGNATURE</w:t>
      </w:r>
    </w:p>
    <w:p>
      <w:pPr>
        <w:sectPr>
          <w:pgSz w:w="11900" w:h="16840" w:orient="portrait"/>
          <w:cols w:equalWidth="0" w:num="1">
            <w:col w:w="10500"/>
          </w:cols>
          <w:pgMar w:left="700" w:top="568" w:right="700" w:bottom="388" w:gutter="0" w:footer="0" w:header="0"/>
          <w:type w:val="continuous"/>
        </w:sectPr>
      </w:pPr>
    </w:p>
    <w:bookmarkStart w:id="3" w:name="page4"/>
    <w:bookmarkEnd w:id="3"/>
    <w:p>
      <w:pPr>
        <w:ind w:left="600"/>
        <w:spacing w:after="0" w:line="286" w:lineRule="auto"/>
        <w:rPr>
          <w:sz w:val="20"/>
          <w:szCs w:val="20"/>
          <w:color w:val="auto"/>
        </w:rPr>
      </w:pPr>
      <w:r>
        <w:rPr>
          <w:rFonts w:ascii="Times New Roman" w:cs="Times New Roman" w:eastAsia="Times New Roman" w:hAnsi="Times New Roman"/>
          <w:sz w:val="19"/>
          <w:szCs w:val="19"/>
          <w:color w:val="auto"/>
        </w:rPr>
        <w:t>After reasonable inquiry and to the best of my knowledge and belief, I certify that the information set forth in this statement is true, complete and correct.</w:t>
      </w:r>
    </w:p>
    <w:p>
      <w:pPr>
        <w:spacing w:after="0" w:line="35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9"/>
          <w:szCs w:val="19"/>
          <w:color w:val="auto"/>
        </w:rPr>
        <w:t>The Vanguard Group</w:t>
      </w:r>
    </w:p>
    <w:p>
      <w:pPr>
        <w:spacing w:after="0" w:line="154" w:lineRule="exact"/>
        <w:rPr>
          <w:sz w:val="20"/>
          <w:szCs w:val="20"/>
          <w:color w:val="auto"/>
        </w:rPr>
      </w:pPr>
    </w:p>
    <w:p>
      <w:pPr>
        <w:ind w:left="3240"/>
        <w:spacing w:after="0"/>
        <w:tabs>
          <w:tab w:leader="none" w:pos="4180" w:val="left"/>
        </w:tabs>
        <w:rPr>
          <w:sz w:val="20"/>
          <w:szCs w:val="20"/>
          <w:color w:val="auto"/>
        </w:rPr>
      </w:pPr>
      <w:r>
        <w:rPr>
          <w:rFonts w:ascii="Times New Roman" w:cs="Times New Roman" w:eastAsia="Times New Roman" w:hAnsi="Times New Roman"/>
          <w:sz w:val="19"/>
          <w:szCs w:val="19"/>
          <w:color w:val="auto"/>
        </w:rPr>
        <w:t>Signature:</w:t>
        <w:tab/>
        <w:t>Ashley Grim</w:t>
      </w:r>
    </w:p>
    <w:p>
      <w:pPr>
        <w:spacing w:after="0" w:line="5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auto"/>
        </w:rPr>
        <w:t>Name/Title: Head of Global Fund Administration</w:t>
      </w:r>
    </w:p>
    <w:p>
      <w:pPr>
        <w:spacing w:after="0" w:line="58" w:lineRule="exact"/>
        <w:rPr>
          <w:sz w:val="20"/>
          <w:szCs w:val="20"/>
          <w:color w:val="auto"/>
        </w:rPr>
      </w:pPr>
    </w:p>
    <w:p>
      <w:pPr>
        <w:ind w:left="3240"/>
        <w:spacing w:after="0"/>
        <w:tabs>
          <w:tab w:leader="none" w:pos="4180" w:val="left"/>
        </w:tabs>
        <w:rPr>
          <w:sz w:val="20"/>
          <w:szCs w:val="20"/>
          <w:color w:val="auto"/>
        </w:rPr>
      </w:pPr>
      <w:r>
        <w:rPr>
          <w:rFonts w:ascii="Times New Roman" w:cs="Times New Roman" w:eastAsia="Times New Roman" w:hAnsi="Times New Roman"/>
          <w:sz w:val="19"/>
          <w:szCs w:val="19"/>
          <w:color w:val="auto"/>
        </w:rPr>
        <w:t>Date:</w:t>
      </w:r>
      <w:r>
        <w:rPr>
          <w:sz w:val="20"/>
          <w:szCs w:val="20"/>
          <w:color w:val="auto"/>
        </w:rPr>
        <w:tab/>
      </w:r>
      <w:r>
        <w:rPr>
          <w:rFonts w:ascii="Times New Roman" w:cs="Times New Roman" w:eastAsia="Times New Roman" w:hAnsi="Times New Roman"/>
          <w:sz w:val="19"/>
          <w:szCs w:val="19"/>
          <w:color w:val="auto"/>
        </w:rPr>
        <w:t>10/30/2025</w:t>
      </w:r>
    </w:p>
    <w:sectPr>
      <w:pgSz w:w="11900" w:h="16840" w:orient="portrait"/>
      <w:cols w:equalWidth="0" w:num="1">
        <w:col w:w="9760"/>
      </w:cols>
      <w:pgMar w:left="1440" w:top="568" w:right="7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2025-10-30T13:38:50Z</dcterms:created>
  <dcterms:modified xsi:type="dcterms:W3CDTF">2025-10-30T13:38:50Z</dcterms:modified>
</cp:coreProperties>
</file>