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5577995.xml.htm"/>
      <w:bookmarkStart w:id="1" w:name="kswkform4_17655779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Howell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109.646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 one share of Akamai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December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12, 2023, Ms. Howell was granted 3,845 RSUs. Such RSUs vest over three years as follows: 1/3 on the first anniversary of the date of grant with the remaining 2/3 vesting in equal installments of 8-1/3% each quarter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203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3535</Characters>
  <CharactersWithSpaces>4116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