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Blumofe Robert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560"/>
              <w:spacing w:after="0" w:line="185" w:lineRule="exact"/>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11/14/2025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87.6836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21,410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line="213" w:lineRule="exact"/>
              <w:rPr>
                <w:sz w:val="20"/>
                <w:szCs w:val="20"/>
                <w:color w:val="auto"/>
              </w:rPr>
            </w:pPr>
            <w:r>
              <w:rPr>
                <w:rFonts w:ascii="Times New Roman" w:cs="Times New Roman" w:eastAsia="Times New Roman" w:hAnsi="Times New Roman"/>
                <w:sz w:val="17"/>
                <w:szCs w:val="17"/>
                <w:color w:val="0000FF"/>
              </w:rPr>
              <w:t>64.184</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was made pursuant to a Rule 10b5-1 Plan adopted by Dr. Blumofe on March 12,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$87.24 to $88.23,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November 13,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11/14/2025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6905"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2025-11-14T15:21:23Z</dcterms:created>
  <dcterms:modified xsi:type="dcterms:W3CDTF">2025-11-14T15:21:23Z</dcterms:modified>
</cp:coreProperties>
</file>