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6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May 13, 2026</w:t>
      </w:r>
    </w:p>
    <w:p>
      <w:pPr>
        <w:spacing w:after="0" w:line="200" w:lineRule="exact"/>
        <w:rPr>
          <w:sz w:val="24"/>
          <w:szCs w:val="24"/>
          <w:color w:val="auto"/>
        </w:rPr>
      </w:pPr>
    </w:p>
    <w:p>
      <w:pPr>
        <w:spacing w:after="0" w:line="25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AKAMAI TECHNOLOGIES, INC.</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988" w:right="499" w:bottom="1440" w:gutter="0" w:footer="0" w:header="0"/>
        </w:sectPr>
      </w:pPr>
    </w:p>
    <w:p>
      <w:pPr>
        <w:spacing w:after="0" w:line="27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000-27275</w:t>
      </w:r>
    </w:p>
    <w:p>
      <w:pPr>
        <w:spacing w:after="0" w:line="2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04-3432319</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3240" w:space="720"/>
            <w:col w:w="2500"/>
          </w:cols>
          <w:pgMar w:left="320" w:top="988" w:right="499" w:bottom="1440" w:gutter="0" w:footer="0" w:header="0"/>
          <w:type w:val="continuous"/>
        </w:sectPr>
      </w:pPr>
    </w:p>
    <w:p>
      <w:pPr>
        <w:ind w:left="90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 Broadway</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Cambridge, Massachusetts 02142</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 (617) 444-3000</w:t>
      </w:r>
    </w:p>
    <w:p>
      <w:pPr>
        <w:sectPr>
          <w:pgSz w:w="11900" w:h="16838" w:orient="portrait"/>
          <w:cols w:equalWidth="0" w:num="1">
            <w:col w:w="11080"/>
          </w:cols>
          <w:pgMar w:left="320" w:top="988" w:right="499" w:bottom="1440" w:gutter="0" w:footer="0" w:header="0"/>
          <w:type w:val="continuous"/>
        </w:sectPr>
      </w:pPr>
    </w:p>
    <w:p>
      <w:pPr>
        <w:spacing w:after="0" w:line="26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3" w:lineRule="exact"/>
        <w:rPr>
          <w:sz w:val="24"/>
          <w:szCs w:val="24"/>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440" w:hanging="401"/>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080"/>
          </w:cols>
          <w:pgMar w:left="320" w:top="988" w:right="499" w:bottom="1440" w:gutter="0" w:footer="0" w:header="0"/>
          <w:type w:val="continuous"/>
        </w:sectPr>
      </w:pPr>
    </w:p>
    <w:p>
      <w:pPr>
        <w:spacing w:after="0" w:line="5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Common Stock, $.01 par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AKAM</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140" w:space="720"/>
            <w:col w:w="2100" w:space="720"/>
            <w:col w:w="3400"/>
          </w:cols>
          <w:pgMar w:left="320" w:top="988" w:right="499" w:bottom="1440" w:gutter="0" w:footer="0" w:header="0"/>
          <w:type w:val="continuous"/>
        </w:sectPr>
      </w:pPr>
    </w:p>
    <w:p>
      <w:pPr>
        <w:spacing w:after="0" w:line="14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02"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8" w:right="499" w:bottom="1440" w:gutter="0" w:footer="0" w:header="0"/>
          <w:type w:val="continuous"/>
        </w:sectPr>
      </w:pPr>
    </w:p>
    <w:bookmarkStart w:id="1" w:name="page2"/>
    <w:bookmarkEnd w:id="1"/>
    <w:p>
      <w:pPr>
        <w:ind w:left="1300" w:right="680" w:hanging="1295"/>
        <w:spacing w:after="0" w:line="287"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w:t>
      </w:r>
    </w:p>
    <w:p>
      <w:pPr>
        <w:spacing w:after="0" w:line="256"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9"/>
          <w:szCs w:val="19"/>
          <w:color w:val="auto"/>
        </w:rPr>
        <w:t>At the annual meeting of stockholders of Akamai Technologies, Inc. (the “Company” or “Akamai”) held on May 13, 2026 (the “Annual Meeting”), the Company’s stockholders approved the Akamai Technologies, Inc. 2026 Employee Stock Purchase Plan (the “2026 ESPP”), which had previously been adopted by the Board of Directors of the Company (the “Board”) subject to stockholder approval.</w:t>
      </w:r>
    </w:p>
    <w:p>
      <w:pPr>
        <w:spacing w:after="0" w:line="191" w:lineRule="exact"/>
        <w:rPr>
          <w:sz w:val="20"/>
          <w:szCs w:val="20"/>
          <w:color w:val="auto"/>
        </w:rPr>
      </w:pPr>
    </w:p>
    <w:p>
      <w:pPr>
        <w:ind w:right="80" w:firstLine="324"/>
        <w:spacing w:after="0" w:line="237" w:lineRule="auto"/>
        <w:rPr>
          <w:sz w:val="20"/>
          <w:szCs w:val="20"/>
          <w:color w:val="auto"/>
        </w:rPr>
      </w:pPr>
      <w:r>
        <w:rPr>
          <w:rFonts w:ascii="Times New Roman" w:cs="Times New Roman" w:eastAsia="Times New Roman" w:hAnsi="Times New Roman"/>
          <w:sz w:val="20"/>
          <w:szCs w:val="20"/>
          <w:color w:val="auto"/>
        </w:rPr>
        <w:t>A description of the 2026 ESPP is included in Proposal 3 of the Company’s definitive proxy statement filed with the Securities and Exchange Commission on March 31, 2026 (the “Proxy Statement”), which summary is incorporated in its entirety herein by reference. The descriptions of the 2026 ESPP contained herein and in the Proxy Statement do not purport to be complete and are subject to, and qualified in their entirety by reference to, the full text of the 2026 ESPP, a copy of which is attached as Exhibit 10.1 to this Current Report on Form 8-K and incorporated herein by reference.</w:t>
      </w:r>
    </w:p>
    <w:p>
      <w:pPr>
        <w:spacing w:after="0" w:line="214" w:lineRule="exact"/>
        <w:rPr>
          <w:sz w:val="20"/>
          <w:szCs w:val="20"/>
          <w:color w:val="auto"/>
        </w:rPr>
      </w:pPr>
    </w:p>
    <w:p>
      <w:pPr>
        <w:jc w:val="both"/>
        <w:ind w:right="140" w:firstLine="324"/>
        <w:spacing w:after="0" w:line="281" w:lineRule="auto"/>
        <w:rPr>
          <w:sz w:val="20"/>
          <w:szCs w:val="20"/>
          <w:color w:val="auto"/>
        </w:rPr>
      </w:pPr>
      <w:r>
        <w:rPr>
          <w:rFonts w:ascii="Times New Roman" w:cs="Times New Roman" w:eastAsia="Times New Roman" w:hAnsi="Times New Roman"/>
          <w:sz w:val="19"/>
          <w:szCs w:val="19"/>
          <w:color w:val="auto"/>
        </w:rPr>
        <w:t>In addition, at the Annual Meeting, the Company’s stockholders approved Amendment No. 4 to the Akamai Technologies, Inc. Second Amended and Restated 2013 Stock Incentive Plan (the “A&amp;R Incentive Plan”), which had previously been adopted by the Board, subject to stockholder approval. The amendment increased the number of shares available for grant under the A&amp;R Incentive Plan by 8,000,000.</w:t>
      </w:r>
    </w:p>
    <w:p>
      <w:pPr>
        <w:spacing w:after="0" w:line="178" w:lineRule="exact"/>
        <w:rPr>
          <w:sz w:val="20"/>
          <w:szCs w:val="20"/>
          <w:color w:val="auto"/>
        </w:rPr>
      </w:pPr>
    </w:p>
    <w:p>
      <w:pPr>
        <w:ind w:right="960" w:firstLine="324"/>
        <w:spacing w:after="0" w:line="283" w:lineRule="auto"/>
        <w:rPr>
          <w:sz w:val="20"/>
          <w:szCs w:val="20"/>
          <w:color w:val="auto"/>
        </w:rPr>
      </w:pPr>
      <w:r>
        <w:rPr>
          <w:rFonts w:ascii="Times New Roman" w:cs="Times New Roman" w:eastAsia="Times New Roman" w:hAnsi="Times New Roman"/>
          <w:sz w:val="20"/>
          <w:szCs w:val="20"/>
          <w:color w:val="auto"/>
        </w:rPr>
        <w:t>A complete copy of the A&amp;R Incentive Plan, as amended, is attached as Exhibit 10.2 to this Current Report on Form 8-K and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5.03 Amendments to Articles of Incorporation or Bylaws; Change in Fiscal Year.</w:t>
      </w:r>
    </w:p>
    <w:p>
      <w:pPr>
        <w:spacing w:after="0" w:line="24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20"/>
          <w:szCs w:val="20"/>
          <w:color w:val="auto"/>
        </w:rPr>
        <w:t>At the Annual Meeting, the stockholders of the Company approved an amendment and restatement of the Company's Amended and Restated Certificate of Incorporation (as amended and restated, the “A&amp;R Charter”), to require the Secretary of the Company to call a special meeting of stockholders upon the written request of stockholders or beneficial owners beneficially owning at least 25% of the Company’s issued and outstanding shares of capital stock (the “Special Meeting Right”). Such A&amp;R Charter is described in detail under “Proposal 5 Approval of an Amendment and Restatement of the Company's Amended and Restated Certificate of Incorporation to Authorize Certain Stockholders to Call a Special Meeting of Stockholders” beginning on page 98 of the Proxy Statement. The Board had previously approved the A&amp;R Charter, subject to stockholder approval.</w:t>
      </w:r>
    </w:p>
    <w:p>
      <w:pPr>
        <w:spacing w:after="0" w:line="206"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20"/>
          <w:szCs w:val="20"/>
          <w:color w:val="auto"/>
        </w:rPr>
        <w:t>The A&amp;R Charter became effective immediately upon the Company's filing of the A&amp;R Charter with the Secretary of State of the State of Delaware on May 13, 2026. The foregoing description of the A&amp;R Charter does not purport to be complete and is qualified in its entirety by reference to the full text of the A&amp;R Charter, a copy of which is filed as Exhibit 3.1 to this Current Report on Form 8-K and incorporated herein by reference.</w:t>
      </w:r>
    </w:p>
    <w:p>
      <w:pPr>
        <w:spacing w:after="0" w:line="213" w:lineRule="exact"/>
        <w:rPr>
          <w:sz w:val="20"/>
          <w:szCs w:val="20"/>
          <w:color w:val="auto"/>
        </w:rPr>
      </w:pPr>
    </w:p>
    <w:p>
      <w:pPr>
        <w:ind w:right="340" w:firstLine="324"/>
        <w:spacing w:after="0" w:line="252" w:lineRule="auto"/>
        <w:rPr>
          <w:sz w:val="20"/>
          <w:szCs w:val="20"/>
          <w:color w:val="auto"/>
        </w:rPr>
      </w:pPr>
      <w:r>
        <w:rPr>
          <w:rFonts w:ascii="Times New Roman" w:cs="Times New Roman" w:eastAsia="Times New Roman" w:hAnsi="Times New Roman"/>
          <w:sz w:val="20"/>
          <w:szCs w:val="20"/>
          <w:color w:val="auto"/>
        </w:rPr>
        <w:t>In addition, on January 27, 2026, the Board approved, contingent upon stockholder approval of the A&amp;R Charter, the adoption of the Amended and Restated By-Laws of the Company (the “New Bylaws”) to conform and further implement the Special Meeting Right. The New Bylaws include certain information, procedures and conditions for stockholders to be able to request the Company to call a special meeting, including, but not limited to:</w:t>
      </w:r>
    </w:p>
    <w:p>
      <w:pPr>
        <w:spacing w:after="0" w:line="1" w:lineRule="exact"/>
        <w:rPr>
          <w:sz w:val="20"/>
          <w:szCs w:val="20"/>
          <w:color w:val="auto"/>
        </w:rPr>
      </w:pPr>
    </w:p>
    <w:p>
      <w:pPr>
        <w:ind w:left="660" w:right="40" w:hanging="328"/>
        <w:spacing w:after="0" w:line="251"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only stockholders or beneficial owners (or a group of stockholders or beneficial owners formed for the purpose of making such request) who have beneficial ownership of 25% or more of the issued and outstanding shares of capital stock of the Company as of the record date for the request to call a special meeting and date of submission of the request may request the Company call a special meeting;</w:t>
      </w:r>
    </w:p>
    <w:p>
      <w:pPr>
        <w:spacing w:after="0" w:line="82"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determining if stockholders or beneficial owners requesting a special meeting satisfy the 25% ownership threshold, a person will be considered to own shares or act on behalf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 w:name="page3"/>
    <w:bookmarkEnd w:id="2"/>
    <w:p>
      <w:pPr>
        <w:ind w:left="660" w:right="340"/>
        <w:spacing w:after="0" w:line="283" w:lineRule="auto"/>
        <w:rPr>
          <w:sz w:val="20"/>
          <w:szCs w:val="20"/>
          <w:color w:val="auto"/>
        </w:rPr>
      </w:pPr>
      <w:r>
        <w:rPr>
          <w:rFonts w:ascii="Times New Roman" w:cs="Times New Roman" w:eastAsia="Times New Roman" w:hAnsi="Times New Roman"/>
          <w:sz w:val="20"/>
          <w:szCs w:val="20"/>
          <w:color w:val="auto"/>
        </w:rPr>
        <w:t>who own shares representing 25% or more if the stockholder or beneficial owner possesses both the voting power and investment rights and economic interest in the outstanding shares;</w:t>
      </w:r>
    </w:p>
    <w:p>
      <w:pPr>
        <w:spacing w:after="0" w:line="38" w:lineRule="exact"/>
        <w:rPr>
          <w:sz w:val="20"/>
          <w:szCs w:val="20"/>
          <w:color w:val="auto"/>
        </w:rPr>
      </w:pPr>
    </w:p>
    <w:p>
      <w:pPr>
        <w:ind w:left="660" w:right="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requesting stockholder or beneficial owner must continue to satisfy that level of stock ownership through the date of the proposed special meeting of stockholders;</w:t>
      </w:r>
    </w:p>
    <w:p>
      <w:pPr>
        <w:spacing w:after="0" w:line="38"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information must be provided regarding the stockholder(s) or owner(s) requesting the special meeting and the proposed special meeting, as set forth in the New Bylaws, as amended from time to time; and</w:t>
      </w:r>
    </w:p>
    <w:p>
      <w:pPr>
        <w:spacing w:after="0" w:line="51"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requesting stockholder(s) or beneficial owner(s) must satisfy such additional terms, conditions and limitations as may be set forth in the New Bylaws, as amended from time to time.</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Board’s approval of the New Bylaws was contingent upon the stockholders’ approval of the A&amp;R Charter. The New Bylaws became effective on May 13, 2026, upon the filing of the A&amp;R Charter with the Secretary of State of the State of Delaware. The foregoing description of the changes contained in the New Bylaws is qualified in its entirety by reference to the full text of the New Bylaws, a copy of which is attached as Exhibit 3.2 to this Current Report on Form 8-K and incorporated herein by reference.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60" w:lineRule="exact"/>
        <w:rPr>
          <w:sz w:val="20"/>
          <w:szCs w:val="20"/>
          <w:color w:val="auto"/>
        </w:rPr>
      </w:pPr>
    </w:p>
    <w:p>
      <w:pPr>
        <w:ind w:right="520" w:firstLine="324"/>
        <w:spacing w:after="0" w:line="269" w:lineRule="auto"/>
        <w:rPr>
          <w:sz w:val="20"/>
          <w:szCs w:val="20"/>
          <w:color w:val="auto"/>
        </w:rPr>
      </w:pPr>
      <w:r>
        <w:rPr>
          <w:rFonts w:ascii="Times New Roman" w:cs="Times New Roman" w:eastAsia="Times New Roman" w:hAnsi="Times New Roman"/>
          <w:sz w:val="20"/>
          <w:szCs w:val="20"/>
          <w:color w:val="auto"/>
        </w:rPr>
        <w:t>At the Annual Meeting, eight items of business were acted upon by stockholders. There were 147,223,048 shares of the Company’s common stock eligible to vote, and 122,725,689 shares present in person or by proxy at the Annual Meeting.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The following nominees were elected to the Company’s Board of Directors for terms expiring at the 2027 annual meeting of stockholders.</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20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Nominees</w:t>
            </w:r>
          </w:p>
        </w:tc>
        <w:tc>
          <w:tcPr>
            <w:tcW w:w="222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20"/>
                <w:szCs w:val="20"/>
                <w:color w:val="auto"/>
              </w:rPr>
              <w:t>For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Against</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Abstain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Broker Non-Votes</w:t>
            </w:r>
          </w:p>
        </w:tc>
      </w:tr>
      <w:tr>
        <w:trPr>
          <w:trHeight w:val="264"/>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Janaki Akella</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104,263,508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9,580,136</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65,272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Sharon Bowen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112,713,721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1,130,456</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64,739</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Marianne Brown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112,786,758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1,048,217</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73,941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4"/>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Bas Burger</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110,978,995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2,863,268</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66,653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Dan Hesse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112,057,775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1,787,218</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63,923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Tom Killalea</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111,618,223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2,217,003</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73,690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4"/>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Tom Leighton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112,447,795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1,405,284</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55,837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Jonathan Miller</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109,838,007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4,002,208</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68,701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263"/>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Madhu Ranganathan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112,366,985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1,483,119</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58,812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8,816,773</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The amendment of the Akamai Technologies, Inc. Second Amended and Restated 2013 Stock Incentive Plan was approved.</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For</w:t>
            </w:r>
          </w:p>
        </w:tc>
        <w:tc>
          <w:tcPr>
            <w:tcW w:w="5620" w:type="dxa"/>
            <w:vAlign w:val="bottom"/>
            <w:tcBorders>
              <w:top w:val="single" w:sz="8" w:color="auto"/>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66,180,915</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Against</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47,672,263</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Abstain</w:t>
            </w:r>
          </w:p>
        </w:tc>
        <w:tc>
          <w:tcPr>
            <w:tcW w:w="5620" w:type="dxa"/>
            <w:vAlign w:val="bottom"/>
            <w:tcBorders>
              <w:bottom w:val="single" w:sz="8" w:color="auto"/>
              <w:right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color w:val="auto"/>
                <w:w w:val="98"/>
              </w:rPr>
              <w:t>55,738</w:t>
            </w:r>
          </w:p>
        </w:tc>
      </w:tr>
      <w:tr>
        <w:trPr>
          <w:trHeight w:val="264"/>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Broker Non-Votes</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1449"/>
        </w:trPr>
        <w:tc>
          <w:tcPr>
            <w:tcW w:w="56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3. The Company's 2026 Employee Stock Purchase Plan was approved.</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For</w:t>
            </w:r>
          </w:p>
        </w:tc>
        <w:tc>
          <w:tcPr>
            <w:tcW w:w="5620" w:type="dxa"/>
            <w:vAlign w:val="bottom"/>
            <w:tcBorders>
              <w:top w:val="single" w:sz="8" w:color="auto"/>
              <w:bottom w:val="single" w:sz="8" w:color="auto"/>
              <w:right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color w:val="auto"/>
                <w:w w:val="97"/>
              </w:rPr>
              <w:t>111,878,925</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Against</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9"/>
              </w:rPr>
              <w:t>2,000,845</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Abstain</w:t>
            </w:r>
          </w:p>
        </w:tc>
        <w:tc>
          <w:tcPr>
            <w:tcW w:w="5620" w:type="dxa"/>
            <w:vAlign w:val="bottom"/>
            <w:tcBorders>
              <w:bottom w:val="single" w:sz="8" w:color="auto"/>
              <w:right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color w:val="auto"/>
                <w:w w:val="98"/>
              </w:rPr>
              <w:t>29,146</w:t>
            </w:r>
          </w:p>
        </w:tc>
      </w:tr>
      <w:tr>
        <w:trPr>
          <w:trHeight w:val="264"/>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Broker Non-Votes</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9"/>
              </w:rPr>
              <w:t>8,816,773</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 A non-binding, advisory proposal on the compensation of the Company’s named executive officers was approved.</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For</w:t>
            </w:r>
          </w:p>
        </w:tc>
        <w:tc>
          <w:tcPr>
            <w:tcW w:w="5620" w:type="dxa"/>
            <w:vAlign w:val="bottom"/>
            <w:tcBorders>
              <w:top w:val="single" w:sz="8" w:color="auto"/>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9"/>
              </w:rPr>
              <w:t>102,401,186</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Against</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10,534,958</w:t>
            </w:r>
          </w:p>
        </w:tc>
      </w:tr>
      <w:tr>
        <w:trPr>
          <w:trHeight w:val="264"/>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Abstain</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8"/>
              </w:rPr>
              <w:t>972,772</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Broker Non-Votes</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9"/>
              </w:rPr>
              <w:t>8,816,773</w:t>
            </w:r>
          </w:p>
        </w:tc>
      </w:tr>
    </w:tbl>
    <w:p>
      <w:pPr>
        <w:spacing w:after="0" w:line="315" w:lineRule="exact"/>
        <w:rPr>
          <w:sz w:val="20"/>
          <w:szCs w:val="20"/>
          <w:color w:val="auto"/>
        </w:rPr>
      </w:pPr>
    </w:p>
    <w:p>
      <w:pPr>
        <w:ind w:right="880" w:firstLine="8"/>
        <w:spacing w:after="0" w:line="269" w:lineRule="auto"/>
        <w:tabs>
          <w:tab w:leader="none" w:pos="19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Amended and Restated Certificate of Incorporation to authorize certain stockholders to call a special meeting of stockholders was approved.</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For</w:t>
            </w:r>
          </w:p>
        </w:tc>
        <w:tc>
          <w:tcPr>
            <w:tcW w:w="5620" w:type="dxa"/>
            <w:vAlign w:val="bottom"/>
            <w:tcBorders>
              <w:top w:val="single" w:sz="8" w:color="auto"/>
              <w:bottom w:val="single" w:sz="8" w:color="auto"/>
              <w:right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color w:val="auto"/>
                <w:w w:val="97"/>
              </w:rPr>
              <w:t>113,218,217</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Against</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8"/>
              </w:rPr>
              <w:t>628,597</w:t>
            </w:r>
          </w:p>
        </w:tc>
      </w:tr>
      <w:tr>
        <w:trPr>
          <w:trHeight w:val="264"/>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Abstain</w:t>
            </w:r>
          </w:p>
        </w:tc>
        <w:tc>
          <w:tcPr>
            <w:tcW w:w="5620" w:type="dxa"/>
            <w:vAlign w:val="bottom"/>
            <w:tcBorders>
              <w:bottom w:val="single" w:sz="8" w:color="auto"/>
              <w:right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color w:val="auto"/>
                <w:w w:val="98"/>
              </w:rPr>
              <w:t>62,102</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Broker Non-Votes</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9"/>
              </w:rPr>
              <w:t>8,816,773</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 Proposal 6 relating to the adjournment of the Annual Meeting to solicit additional proxies, if necessary, was approved.</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For</w:t>
            </w:r>
          </w:p>
        </w:tc>
        <w:tc>
          <w:tcPr>
            <w:tcW w:w="5620" w:type="dxa"/>
            <w:vAlign w:val="bottom"/>
            <w:tcBorders>
              <w:top w:val="single" w:sz="8" w:color="auto"/>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69,588,568</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Against</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53,064,500</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Abstain</w:t>
            </w:r>
          </w:p>
        </w:tc>
        <w:tc>
          <w:tcPr>
            <w:tcW w:w="5620" w:type="dxa"/>
            <w:vAlign w:val="bottom"/>
            <w:tcBorders>
              <w:bottom w:val="single" w:sz="8" w:color="auto"/>
              <w:right w:val="single" w:sz="8" w:color="auto"/>
            </w:tcBorders>
          </w:tcPr>
          <w:p>
            <w:pPr>
              <w:jc w:val="center"/>
              <w:ind w:left="541"/>
              <w:spacing w:after="0"/>
              <w:rPr>
                <w:sz w:val="20"/>
                <w:szCs w:val="20"/>
                <w:color w:val="auto"/>
              </w:rPr>
            </w:pPr>
            <w:r>
              <w:rPr>
                <w:rFonts w:ascii="Times New Roman" w:cs="Times New Roman" w:eastAsia="Times New Roman" w:hAnsi="Times New Roman"/>
                <w:sz w:val="20"/>
                <w:szCs w:val="20"/>
                <w:color w:val="auto"/>
                <w:w w:val="98"/>
              </w:rPr>
              <w:t>72,621</w:t>
            </w:r>
          </w:p>
        </w:tc>
      </w:tr>
    </w:tbl>
    <w:p>
      <w:pPr>
        <w:spacing w:after="0" w:line="315" w:lineRule="exact"/>
        <w:rPr>
          <w:sz w:val="20"/>
          <w:szCs w:val="20"/>
          <w:color w:val="auto"/>
        </w:rPr>
      </w:pPr>
    </w:p>
    <w:p>
      <w:pPr>
        <w:ind w:right="320" w:firstLine="8"/>
        <w:spacing w:after="0" w:line="269" w:lineRule="auto"/>
        <w:tabs>
          <w:tab w:leader="none" w:pos="19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selection of PricewaterhouseCoopers LLP as the independent registered public accounting firm for the Company for the fiscal year ending December 31, 2026 was ratified.</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For</w:t>
            </w:r>
          </w:p>
        </w:tc>
        <w:tc>
          <w:tcPr>
            <w:tcW w:w="5620" w:type="dxa"/>
            <w:vAlign w:val="bottom"/>
            <w:tcBorders>
              <w:top w:val="single" w:sz="8" w:color="auto"/>
              <w:bottom w:val="single" w:sz="8" w:color="auto"/>
              <w:right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color w:val="auto"/>
                <w:w w:val="97"/>
              </w:rPr>
              <w:t>111,385,849</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Against</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11,277,518</w:t>
            </w:r>
          </w:p>
        </w:tc>
      </w:tr>
      <w:tr>
        <w:trPr>
          <w:trHeight w:val="264"/>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Abstain</w:t>
            </w:r>
          </w:p>
        </w:tc>
        <w:tc>
          <w:tcPr>
            <w:tcW w:w="5620" w:type="dxa"/>
            <w:vAlign w:val="bottom"/>
            <w:tcBorders>
              <w:bottom w:val="single" w:sz="8" w:color="auto"/>
              <w:right w:val="single" w:sz="8" w:color="auto"/>
            </w:tcBorders>
          </w:tcPr>
          <w:p>
            <w:pPr>
              <w:jc w:val="center"/>
              <w:ind w:left="501"/>
              <w:spacing w:after="0"/>
              <w:rPr>
                <w:sz w:val="20"/>
                <w:szCs w:val="20"/>
                <w:color w:val="auto"/>
              </w:rPr>
            </w:pPr>
            <w:r>
              <w:rPr>
                <w:rFonts w:ascii="Times New Roman" w:cs="Times New Roman" w:eastAsia="Times New Roman" w:hAnsi="Times New Roman"/>
                <w:sz w:val="20"/>
                <w:szCs w:val="20"/>
                <w:color w:val="auto"/>
                <w:w w:val="98"/>
              </w:rPr>
              <w:t>62,322</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 The shareholder advisory proposal requesting the Company to provide a report on political spending was not approved.</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564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For</w:t>
            </w:r>
          </w:p>
        </w:tc>
        <w:tc>
          <w:tcPr>
            <w:tcW w:w="5620" w:type="dxa"/>
            <w:vAlign w:val="bottom"/>
            <w:tcBorders>
              <w:top w:val="single" w:sz="8" w:color="auto"/>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51,672,517</w:t>
            </w:r>
          </w:p>
        </w:tc>
      </w:tr>
      <w:tr>
        <w:trPr>
          <w:trHeight w:val="264"/>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Against</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7"/>
              </w:rPr>
              <w:t>61,327,122</w:t>
            </w:r>
          </w:p>
        </w:tc>
      </w:tr>
      <w:tr>
        <w:trPr>
          <w:trHeight w:val="263"/>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Abstain</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8"/>
              </w:rPr>
              <w:t>909,277</w:t>
            </w:r>
          </w:p>
        </w:tc>
      </w:tr>
      <w:tr>
        <w:trPr>
          <w:trHeight w:val="264"/>
        </w:trPr>
        <w:tc>
          <w:tcPr>
            <w:tcW w:w="564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Broker Non-Votes</w:t>
            </w:r>
          </w:p>
        </w:tc>
        <w:tc>
          <w:tcPr>
            <w:tcW w:w="5620" w:type="dxa"/>
            <w:vAlign w:val="bottom"/>
            <w:tcBorders>
              <w:bottom w:val="single" w:sz="8" w:color="auto"/>
              <w:right w:val="single" w:sz="8" w:color="auto"/>
            </w:tcBorders>
          </w:tcPr>
          <w:p>
            <w:pPr>
              <w:jc w:val="center"/>
              <w:ind w:left="521"/>
              <w:spacing w:after="0"/>
              <w:rPr>
                <w:sz w:val="20"/>
                <w:szCs w:val="20"/>
                <w:color w:val="auto"/>
              </w:rPr>
            </w:pPr>
            <w:r>
              <w:rPr>
                <w:rFonts w:ascii="Times New Roman" w:cs="Times New Roman" w:eastAsia="Times New Roman" w:hAnsi="Times New Roman"/>
                <w:sz w:val="20"/>
                <w:szCs w:val="20"/>
                <w:color w:val="auto"/>
                <w:w w:val="99"/>
              </w:rPr>
              <w:t>8,816,773</w:t>
            </w:r>
          </w:p>
        </w:tc>
      </w:tr>
      <w:tr>
        <w:trPr>
          <w:trHeight w:val="1462"/>
        </w:trPr>
        <w:tc>
          <w:tcPr>
            <w:tcW w:w="56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17"/>
        </w:trPr>
        <w:tc>
          <w:tcPr>
            <w:tcW w:w="4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Description</w:t>
            </w:r>
          </w:p>
        </w:tc>
        <w:tc>
          <w:tcPr>
            <w:tcW w:w="20" w:type="dxa"/>
            <w:vAlign w:val="bottom"/>
          </w:tcPr>
          <w:p>
            <w:pPr>
              <w:spacing w:after="0"/>
              <w:rPr>
                <w:sz w:val="24"/>
                <w:szCs w:val="24"/>
                <w:color w:val="auto"/>
              </w:rPr>
            </w:pPr>
          </w:p>
        </w:tc>
      </w:tr>
      <w:tr>
        <w:trPr>
          <w:trHeight w:val="281"/>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Amended and Restated Certificate of Incorporation of Akamai Technologies, Inc.</w:t>
            </w:r>
          </w:p>
        </w:tc>
        <w:tc>
          <w:tcPr>
            <w:tcW w:w="1360" w:type="dxa"/>
            <w:vAlign w:val="bottom"/>
          </w:tcPr>
          <w:p>
            <w:pPr>
              <w:spacing w:after="0"/>
              <w:rPr>
                <w:sz w:val="24"/>
                <w:szCs w:val="24"/>
                <w:color w:val="auto"/>
              </w:rPr>
            </w:pPr>
          </w:p>
        </w:tc>
        <w:tc>
          <w:tcPr>
            <w:tcW w:w="1960" w:type="dxa"/>
            <w:vAlign w:val="bottom"/>
            <w:gridSpan w:val="2"/>
          </w:tcPr>
          <w:p>
            <w:pPr>
              <w:spacing w:after="0"/>
              <w:rPr>
                <w:sz w:val="24"/>
                <w:szCs w:val="24"/>
                <w:color w:val="auto"/>
              </w:rPr>
            </w:pPr>
          </w:p>
        </w:tc>
      </w:tr>
      <w:tr>
        <w:trPr>
          <w:trHeight w:val="345"/>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Amended and Restated By-Laws of Akamai Technologies, Inc.</w:t>
            </w:r>
          </w:p>
        </w:tc>
        <w:tc>
          <w:tcPr>
            <w:tcW w:w="4760" w:type="dxa"/>
            <w:vAlign w:val="bottom"/>
            <w:gridSpan w:val="5"/>
          </w:tcPr>
          <w:p>
            <w:pPr>
              <w:spacing w:after="0"/>
              <w:rPr>
                <w:sz w:val="24"/>
                <w:szCs w:val="24"/>
                <w:color w:val="auto"/>
              </w:rPr>
            </w:pPr>
          </w:p>
        </w:tc>
      </w:tr>
      <w:tr>
        <w:trPr>
          <w:trHeight w:val="345"/>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Akamai Technologies, Inc. 2026 Employee Stock Purchase Plan</w:t>
            </w: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gridSpan w:val="2"/>
            <w:shd w:val="clear" w:color="auto" w:fill="0000FF"/>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344"/>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Akamai Technologies, Inc. Second Amended and Restated 2013 Stock Incentive Plan, as amended</w:t>
            </w:r>
          </w:p>
        </w:tc>
      </w:tr>
      <w:tr>
        <w:trPr>
          <w:trHeight w:val="20"/>
        </w:trPr>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0" w:type="dxa"/>
            <w:vAlign w:val="bottom"/>
            <w:gridSpan w:val="4"/>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391"/>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 document)</w:t>
            </w:r>
          </w:p>
        </w:tc>
      </w:tr>
      <w:tr>
        <w:trPr>
          <w:trHeight w:val="987"/>
        </w:trPr>
        <w:tc>
          <w:tcPr>
            <w:tcW w:w="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300"/>
        <w:spacing w:after="0"/>
        <w:tabs>
          <w:tab w:leader="none" w:pos="1500" w:val="left"/>
          <w:tab w:leader="none" w:pos="61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May 13, 2026</w:t>
      </w:r>
      <w:r>
        <w:rPr>
          <w:sz w:val="20"/>
          <w:szCs w:val="20"/>
          <w:color w:val="auto"/>
        </w:rPr>
        <w:tab/>
      </w:r>
      <w:r>
        <w:rPr>
          <w:rFonts w:ascii="Times New Roman" w:cs="Times New Roman" w:eastAsia="Times New Roman" w:hAnsi="Times New Roman"/>
          <w:sz w:val="19"/>
          <w:szCs w:val="19"/>
          <w:color w:val="auto"/>
        </w:rPr>
        <w:t>AKAMAI TECHNOLOGIES, INC.</w:t>
      </w:r>
    </w:p>
    <w:p>
      <w:pPr>
        <w:spacing w:after="0" w:line="31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/s/ Aaron S. Ahola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22860</wp:posOffset>
            </wp:positionV>
            <wp:extent cx="3042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Aaron S. Ahola, Executive Vice President, General Counsel</w:t>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and Corporate Secretary</w:t>
      </w:r>
    </w:p>
    <w:p>
      <w:pPr>
        <w:sectPr>
          <w:pgSz w:w="11900" w:h="16838" w:orient="portrait"/>
          <w:cols w:equalWidth="0" w:num="1">
            <w:col w:w="11080"/>
          </w:cols>
          <w:pgMar w:left="320" w:top="882"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5E5E61"/>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AKAMAI TECHNOLOGIES, INC.</w:t>
      </w:r>
    </w:p>
    <w:p>
      <w:pPr>
        <w:spacing w:after="0" w:line="227"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Akamai Technologies, Inc., a corporation organized and existing under the laws of the State of Delaware (the “Corporation”), does hereby certify as follows:</w:t>
      </w:r>
    </w:p>
    <w:p>
      <w:pPr>
        <w:spacing w:after="0" w:line="187" w:lineRule="exact"/>
        <w:rPr>
          <w:sz w:val="20"/>
          <w:szCs w:val="20"/>
          <w:color w:val="auto"/>
        </w:rPr>
      </w:pPr>
    </w:p>
    <w:p>
      <w:pPr>
        <w:ind w:right="80" w:firstLine="656"/>
        <w:spacing w:after="0" w:line="269" w:lineRule="auto"/>
        <w:tabs>
          <w:tab w:leader="none" w:pos="10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Akamai Technologies, Inc. The date of the filing of its original Certificate of Incorporation with the Secretary of State of the State of Delaware was August 20, 1998.</w:t>
      </w:r>
    </w:p>
    <w:p>
      <w:pPr>
        <w:spacing w:after="0" w:line="199" w:lineRule="exact"/>
        <w:rPr>
          <w:rFonts w:ascii="Times New Roman" w:cs="Times New Roman" w:eastAsia="Times New Roman" w:hAnsi="Times New Roman"/>
          <w:sz w:val="20"/>
          <w:szCs w:val="20"/>
          <w:color w:val="auto"/>
        </w:rPr>
      </w:pPr>
    </w:p>
    <w:p>
      <w:pPr>
        <w:ind w:right="160" w:firstLine="656"/>
        <w:spacing w:after="0" w:line="258" w:lineRule="auto"/>
        <w:tabs>
          <w:tab w:leader="none" w:pos="99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Amended and Restated Certificate of Incorporation amends, restates and integrates the provisions of the Amended and Restated Certificate of Incorporation that was filed with the Secretary of State of the State of Delaware on May 16, 2024, as subsequently amended (the “Amended and Restated Certificate”), and was duly adopted in accordance with the provisions of Sections 242 and 245 of the General Corporation Law of the State of Delaware.</w:t>
      </w:r>
    </w:p>
    <w:p>
      <w:pPr>
        <w:spacing w:after="0" w:line="19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Amended and Restated Certificate is hereby amended and restated in its entirety to provide as herein set forth in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FIRST. The name of the Corporation is: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Akamai Technologies, Inc.</w:t>
      </w:r>
    </w:p>
    <w:p>
      <w:pPr>
        <w:spacing w:after="0" w:line="256"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SECOND. The address of its registered office in the State of Delaware is 1209 Orange Street, City of Wilmington, 19801, County of New Castle. The name of its registered agent at such address is The Corporation Trust Company.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THIRD. The nature of the business or purposes to be conducted or promoted by the Corporation is as follows:</w:t>
      </w:r>
    </w:p>
    <w:p>
      <w:pPr>
        <w:spacing w:after="0" w:line="243"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To engage in any lawful act or activity for which corporations may be organized under the General Corporation Law of the State of Delaware (as amended from time to time, the “DGCL”).</w:t>
      </w:r>
    </w:p>
    <w:p>
      <w:pPr>
        <w:spacing w:after="0" w:line="173" w:lineRule="exact"/>
        <w:rPr>
          <w:sz w:val="20"/>
          <w:szCs w:val="20"/>
          <w:color w:val="auto"/>
        </w:rPr>
      </w:pPr>
    </w:p>
    <w:p>
      <w:pPr>
        <w:jc w:val="both"/>
        <w:ind w:right="520" w:firstLine="648"/>
        <w:spacing w:after="0" w:line="268" w:lineRule="auto"/>
        <w:rPr>
          <w:sz w:val="20"/>
          <w:szCs w:val="20"/>
          <w:color w:val="auto"/>
        </w:rPr>
      </w:pPr>
      <w:r>
        <w:rPr>
          <w:rFonts w:ascii="Times New Roman" w:cs="Times New Roman" w:eastAsia="Times New Roman" w:hAnsi="Times New Roman"/>
          <w:sz w:val="20"/>
          <w:szCs w:val="20"/>
          <w:color w:val="auto"/>
        </w:rPr>
        <w:t>FOURTH: The total number of shares of all classes of stock which the Corporation shall have authority to issue is 705,000,000 shares, consisting of (i) 700,000,000 shares of common stock, $.01 par value per share (“Common Stock”), and (ii) 5,000,000 shares of preferred stock, $.01 par value per share (“Preferred Stock”).</w:t>
      </w:r>
    </w:p>
    <w:p>
      <w:pPr>
        <w:spacing w:after="0" w:line="256" w:lineRule="exact"/>
        <w:rPr>
          <w:sz w:val="20"/>
          <w:szCs w:val="20"/>
          <w:color w:val="auto"/>
        </w:rPr>
      </w:pPr>
    </w:p>
    <w:p>
      <w:pPr>
        <w:ind w:left="20"/>
        <w:spacing w:after="0"/>
        <w:tabs>
          <w:tab w:leader="none" w:pos="26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u w:val="single" w:color="auto"/>
          <w:color w:val="auto"/>
        </w:rPr>
        <w:t>COMMON STOCK.</w:t>
      </w:r>
    </w:p>
    <w:p>
      <w:pPr>
        <w:spacing w:after="0" w:line="324" w:lineRule="exact"/>
        <w:rPr>
          <w:sz w:val="20"/>
          <w:szCs w:val="20"/>
          <w:color w:val="auto"/>
        </w:rPr>
      </w:pPr>
    </w:p>
    <w:p>
      <w:pPr>
        <w:ind w:right="300" w:firstLine="656"/>
        <w:spacing w:after="0" w:line="283" w:lineRule="auto"/>
        <w:tabs>
          <w:tab w:leader="none" w:pos="84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voting, dividend and liquidation rights of the holders of the Common Stock are subject to and qualified by the rights, powers and preferences of the Preferred Stock or as otherwise provided by law or in this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53" w:right="339" w:bottom="1440" w:gutter="0" w:footer="0" w:header="0"/>
        </w:sectPr>
      </w:pPr>
    </w:p>
    <w:bookmarkStart w:id="7" w:name="page8"/>
    <w:bookmarkEnd w:id="7"/>
    <w:p>
      <w:pPr>
        <w:ind w:firstLine="656"/>
        <w:spacing w:after="0" w:line="283" w:lineRule="auto"/>
        <w:tabs>
          <w:tab w:leader="none" w:pos="84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 Each outstanding share of Common Stock shall entitle the holder thereof to one vote on each matter properly submitted to the stockholders of the Corporation for their vote. There shall be no cumulative voting.</w:t>
      </w:r>
    </w:p>
    <w:p>
      <w:pPr>
        <w:spacing w:after="0" w:line="17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The number of authorized shares of Common Stock may be increased or decreased (but not below the number of shares thereof then outstanding) by the affirmative vote of the holders of a majority of the voting power of the shares of capital stock of the Corporation entitled to vote, irrespective of the provisions of Section 242(b)(2) of the DGCL. For the avoidance of doubt and notwithstanding anything herein to the contrary, subject to the rights of the holders of any Preferred Stock, Section 242(d) of the DGCL shall apply to amendments to the Certificate of Incorporation.</w:t>
      </w:r>
    </w:p>
    <w:p>
      <w:pPr>
        <w:spacing w:after="0" w:line="200" w:lineRule="exact"/>
        <w:rPr>
          <w:sz w:val="20"/>
          <w:szCs w:val="20"/>
          <w:color w:val="auto"/>
        </w:rPr>
      </w:pPr>
    </w:p>
    <w:p>
      <w:pPr>
        <w:ind w:right="80" w:firstLine="656"/>
        <w:spacing w:after="0" w:line="261" w:lineRule="auto"/>
        <w:tabs>
          <w:tab w:leader="none" w:pos="84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Dividends may be declared and paid or set aside for payment on the Common Stock from funds lawfully available therefor as and when determined by the Board of Directors or any authorized committee thereof and subject to any preferential dividend rights of any then outstanding Preferred Stock.</w:t>
      </w:r>
    </w:p>
    <w:p>
      <w:pPr>
        <w:spacing w:after="0" w:line="208" w:lineRule="exact"/>
        <w:rPr>
          <w:rFonts w:ascii="Times New Roman" w:cs="Times New Roman" w:eastAsia="Times New Roman" w:hAnsi="Times New Roman"/>
          <w:sz w:val="20"/>
          <w:szCs w:val="20"/>
          <w:color w:val="auto"/>
        </w:rPr>
      </w:pPr>
    </w:p>
    <w:p>
      <w:pPr>
        <w:ind w:right="60" w:firstLine="656"/>
        <w:spacing w:after="0" w:line="261" w:lineRule="auto"/>
        <w:tabs>
          <w:tab w:leader="none" w:pos="84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LIQUIDATION</w:t>
      </w:r>
      <w:r>
        <w:rPr>
          <w:rFonts w:ascii="Times New Roman" w:cs="Times New Roman" w:eastAsia="Times New Roman" w:hAnsi="Times New Roman"/>
          <w:sz w:val="20"/>
          <w:szCs w:val="20"/>
          <w:color w:val="auto"/>
        </w:rPr>
        <w:t>. Upon the dissolution or liquidation of the Corporation, whether voluntary or involuntary, holders of Common Stock will be entitled to receive all assets of the Corporation available for distribution to its stockholders pro rata, subject to any preferential rights of any then outstanding Preferred Stock.</w:t>
      </w:r>
    </w:p>
    <w:p>
      <w:pPr>
        <w:spacing w:after="0" w:line="276" w:lineRule="exact"/>
        <w:rPr>
          <w:sz w:val="20"/>
          <w:szCs w:val="20"/>
          <w:color w:val="auto"/>
        </w:rPr>
      </w:pPr>
    </w:p>
    <w:p>
      <w:pPr>
        <w:ind w:left="20"/>
        <w:spacing w:after="0"/>
        <w:tabs>
          <w:tab w:leader="none" w:pos="25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u w:val="single" w:color="auto"/>
          <w:color w:val="auto"/>
        </w:rPr>
        <w:t>PREFERRED STOCK.</w:t>
      </w:r>
    </w:p>
    <w:p>
      <w:pPr>
        <w:spacing w:after="0" w:line="310"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20"/>
          <w:szCs w:val="20"/>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or any authorized committee thereof as hereinafter provided.</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Authority is hereby expressly granted to the Board of Directors or any authorized committee thereof from time to time to issue the Preferred Stock in one or more series, and in connection with the creation of any such series, by resolution or resolutions providing for the issue of the shares thereof and by filing a certificate of designations pursuant to applicable law of the State of Delaware, to determine and fix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or rank equally or be junior to the Preferred Stock of any other series to the extent permitted by law.</w:t>
      </w:r>
    </w:p>
    <w:p>
      <w:pPr>
        <w:spacing w:after="0" w:line="216" w:lineRule="exact"/>
        <w:rPr>
          <w:sz w:val="20"/>
          <w:szCs w:val="20"/>
          <w:color w:val="auto"/>
        </w:rPr>
      </w:pPr>
    </w:p>
    <w:p>
      <w:pPr>
        <w:jc w:val="both"/>
        <w:ind w:right="80" w:firstLine="194"/>
        <w:spacing w:after="0" w:line="261" w:lineRule="auto"/>
        <w:rPr>
          <w:sz w:val="20"/>
          <w:szCs w:val="20"/>
          <w:color w:val="auto"/>
        </w:rPr>
      </w:pPr>
      <w:r>
        <w:rPr>
          <w:rFonts w:ascii="Times New Roman" w:cs="Times New Roman" w:eastAsia="Times New Roman" w:hAnsi="Times New Roman"/>
          <w:sz w:val="20"/>
          <w:szCs w:val="20"/>
          <w:color w:val="auto"/>
        </w:rPr>
        <w:t xml:space="preserve">The Series A Junior Participating Preferred Stock of the Corporation shall have the terms as set forth in the Certificate of Designations of Series A Junior Participating Preferred Stock of the Corporation filed with the Secretary of State of the State of Delaware on September 10, 2002, which is attached hereto and incorporated herein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FIFTH. The Corporation shall have a perpetual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5E5E61"/>
        </w:rPr>
        <w:t>2</w:t>
      </w:r>
    </w:p>
    <w:p>
      <w:pPr>
        <w:sectPr>
          <w:pgSz w:w="11900" w:h="16838" w:orient="portrait"/>
          <w:cols w:equalWidth="0" w:num="1">
            <w:col w:w="11160"/>
          </w:cols>
          <w:pgMar w:left="320" w:top="1413" w:right="419" w:bottom="1440" w:gutter="0" w:footer="0" w:header="0"/>
        </w:sectPr>
      </w:pPr>
    </w:p>
    <w:bookmarkStart w:id="8" w:name="page9"/>
    <w:bookmarkEnd w:id="8"/>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SIXTH. In furtherance of and not in limitation of powers conferred by statute, it is further provided that the Board of Directors is expressly authorized to adopt, amend or repeal the By-Laws of the Corporation.</w:t>
      </w:r>
    </w:p>
    <w:p>
      <w:pPr>
        <w:spacing w:after="0" w:line="173"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auto"/>
        </w:rPr>
        <w:t>SEVENTH. To the fullest extent permitted by the DGCL, as the same exists or may hereafter be amended from time to time, no director or Officer of the Corporation shall be personally liable to the Corporation or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of a director under Section 174 of the DGCL, (d) for any transaction from which the director or Officer derives an improper personal benefit or</w:t>
      </w:r>
    </w:p>
    <w:p>
      <w:pPr>
        <w:spacing w:after="0" w:line="4" w:lineRule="exact"/>
        <w:rPr>
          <w:sz w:val="20"/>
          <w:szCs w:val="20"/>
          <w:color w:val="auto"/>
        </w:rPr>
      </w:pPr>
    </w:p>
    <w:p>
      <w:pPr>
        <w:ind w:right="100" w:firstLine="8"/>
        <w:spacing w:after="0" w:line="251" w:lineRule="auto"/>
        <w:tabs>
          <w:tab w:leader="none" w:pos="26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 Officer in any action by or in the right of the Corporation. If the DGCL is amended after the effective date of this Certificate of Incorporation to authorize corporate action further eliminating or limiting the personal liability of directors or Officers, then the liability of a director or Officer of the Corporation shall be eliminated or limited to the fullest extent permitted by the DGCL, as so amended. Solely for the purposes of this Article SEVENTH, “Officer” shall have the meaning provided in Section 102(b)(7) of the DGCL.</w:t>
      </w:r>
    </w:p>
    <w:p>
      <w:pPr>
        <w:spacing w:after="0" w:line="21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Any amendment, repeal or modification of this Article SEVENTH shall only be prospective and shall not adversely affect any right or protection or increase the liability of any director or Officer of the Corporation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spacing w:after="0" w:line="21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EIGHTH. 1. ACTIONS, SUITS AND PROCEEDINGS OTHER THAN BY OR IN THE RIGHT OF THE CORPORATION. The Corporation shall indemnify, to the fullest extent permitted by the DGCL, each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 judgments, fines and amounts paid in settlement actually and reasonably incurred by the Indemnitee or on the Indemnitee’s behalf in connection with such action, suit or proceeding and any appeal therefrom, if the Indemnitee acted in good faith and in a manner the Indemnitee reasonably believed to be in, or not opposed to, the best interests of the Corporation, and, with respect to any criminal action or proceeding, had no reasonable cause to believe the Indemnitee’s conduct was unlawful. The termination of any action, suit or proceeding by judgment, order, settlement, conviction or upon a plea of NOLO CONTENDERE or its equivalent, shall not, of itself, create a presumption that the person did not act in good faith and in a manner which the Indemnitee reasonably believed to be in, or not opposed to, the best interests of the Corporation, and, with respect to any criminal action or proceeding, had reasonable cause to believe that the Indemnitee’s conduct was unlawful. Notwithstanding anything to the contrary in this Article, except as set forth in Section 7 below, the Corporation shall not indemnify an Indemnitee seeking indemnification in connection with a proceeding (or part thereof) initiated by the Indemnitee unless the initiation thereof was approved by the Board of Directors of the Corporation. Notwithstanding anything to the contrary in this Article, the Corporation shall not indemnify an Indemnitee to the extent such Indemnitee is reimbursed from the proceeds of insurance, and in the event the Corporation makes any indemnification payments to an Indemnitee and such Indemnitee is subsequently reimbursed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5E5E61"/>
        </w:rPr>
        <w:t>3</w:t>
      </w:r>
    </w:p>
    <w:p>
      <w:pPr>
        <w:sectPr>
          <w:pgSz w:w="11900" w:h="16838" w:orient="portrait"/>
          <w:cols w:equalWidth="0" w:num="1">
            <w:col w:w="11220"/>
          </w:cols>
          <w:pgMar w:left="320" w:top="1413" w:right="359" w:bottom="1440" w:gutter="0" w:footer="0" w:header="0"/>
        </w:sectPr>
      </w:pPr>
    </w:p>
    <w:bookmarkStart w:id="9" w:name="page10"/>
    <w:bookmarkEnd w:id="9"/>
    <w:p>
      <w:pPr>
        <w:ind w:right="620"/>
        <w:spacing w:after="0" w:line="283" w:lineRule="auto"/>
        <w:rPr>
          <w:sz w:val="20"/>
          <w:szCs w:val="20"/>
          <w:color w:val="auto"/>
        </w:rPr>
      </w:pPr>
      <w:r>
        <w:rPr>
          <w:rFonts w:ascii="Times New Roman" w:cs="Times New Roman" w:eastAsia="Times New Roman" w:hAnsi="Times New Roman"/>
          <w:sz w:val="20"/>
          <w:szCs w:val="20"/>
          <w:color w:val="auto"/>
        </w:rPr>
        <w:t>proceeds of insurance, such Indemnitee shall promptly refund such indemnification payments to the Corporation to the extent of such insurance reimbursement.</w:t>
      </w:r>
    </w:p>
    <w:p>
      <w:pPr>
        <w:spacing w:after="0" w:line="173" w:lineRule="exact"/>
        <w:rPr>
          <w:sz w:val="20"/>
          <w:szCs w:val="20"/>
          <w:color w:val="auto"/>
        </w:rPr>
      </w:pPr>
    </w:p>
    <w:p>
      <w:pPr>
        <w:ind w:firstLine="656"/>
        <w:spacing w:after="0" w:line="264" w:lineRule="auto"/>
        <w:tabs>
          <w:tab w:leader="none" w:pos="846"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ACTIONS OR SUITS BY OR IN THE RIGHT OF THE CORPORATION. The Corporation shall indemnify, to the fullest extent permitted by the DGCL, any Indemnitee who was or is a party or is threatened to be made a party to any threatened, pending or completed action or suit by or in the right of the Corporation to procure a judgment in its favor by reason of the fact that the Indemnitee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reasonably incurred by the Indemnitee or on the Indemnitee’s behalf in connection with such action, suit or proceeding and any appeal therefrom, if the Indemnitee acted in good faith and in a manner the Indemnitee reasonably believed to be in, or not opposed to, the best interests of the Corporation, except that no indemnification shall be made in respect of any claim, issue or matter as to which such person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the adjudication of such liability but in view of all the circumstances of the case, the Indemnitee is fairly and reasonably entitled to indemnity for such expenses (including attorneys’ fees) which the Court of Chancery of Delaware shall deem proper.</w:t>
      </w:r>
    </w:p>
    <w:p>
      <w:pPr>
        <w:spacing w:after="0" w:line="210" w:lineRule="exact"/>
        <w:rPr>
          <w:rFonts w:ascii="Times New Roman" w:cs="Times New Roman" w:eastAsia="Times New Roman" w:hAnsi="Times New Roman"/>
          <w:sz w:val="19"/>
          <w:szCs w:val="19"/>
          <w:color w:val="auto"/>
        </w:rPr>
      </w:pPr>
    </w:p>
    <w:p>
      <w:pPr>
        <w:ind w:right="20" w:firstLine="656"/>
        <w:spacing w:after="0" w:line="250" w:lineRule="auto"/>
        <w:tabs>
          <w:tab w:leader="none" w:pos="8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INDEMNIFICATION FOR EXPENSES OF SUCCESSFUL PARTY. Notwithstanding the other provisions of this Article, to the extent that an Indemnitee has been successful, on the merits or otherwise, in defense of any action, suit or proceeding referred to in Sections 1 and 2 of this Article, or in defense of any claim, issue or matter therein, or on appeal from any such action, suit or proceeding, the Indemnitee shall be indemnified against all expenses (including attorneys’ fees) actually and reasonably incurred by the Indemnitee or on the Indemnitee’s behalf in connection therewith. Without limiting the foregoing, if any action, suit or proceeding is disposed of, on the merits or otherwise (including a disposition without prejudice), without (i) the disposition being adverse to the Indemnitee, (ii) an adjudication that the Indemnitee was liable to the Corporation, (iii) a plea of guilty or NOLO CONTENDERE by the Indemnitee, (iv) an adjudication that the Indemnitee did not act in good faith and in a manner the Indemnitee reasonably believed to be in or not opposed to the best interests of the Corporation, and (v) with respect to any criminal proceeding, an adjudication that the Indemnitee had reasonable cause to believe the Indemnitee’s conduct was unlawful, the Indemnitee shall be considered for the purposes hereof to have been wholly successful with respect thereto.</w:t>
      </w:r>
    </w:p>
    <w:p>
      <w:pPr>
        <w:spacing w:after="0" w:line="213" w:lineRule="exact"/>
        <w:rPr>
          <w:rFonts w:ascii="Times New Roman" w:cs="Times New Roman" w:eastAsia="Times New Roman" w:hAnsi="Times New Roman"/>
          <w:sz w:val="20"/>
          <w:szCs w:val="20"/>
          <w:color w:val="auto"/>
        </w:rPr>
      </w:pPr>
    </w:p>
    <w:p>
      <w:pPr>
        <w:ind w:right="20" w:firstLine="656"/>
        <w:spacing w:after="0" w:line="252" w:lineRule="auto"/>
        <w:tabs>
          <w:tab w:leader="none" w:pos="8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NOTIFICATION AND DEFENSE OF CLAIM. As a condition precedent to the Indemnitee’s right to be indemnified, the Indemnitee must notify the Corporation in writing as soon as practicable of any action, suit, proceeding or investigation involving the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the Indemnitee. After notice from the Corporation to the Indemnitee of its election so to assume such defense, the Corporation shall not be liable to the Indemnitee for any legal or other expenses subsequently incurred by the Indemnitee in connection with such claim, other than as provided below in this Section 4. The Indemnitee shall have the right to employ the Indemnitee’s own counsel in connection with such claim, but the fees and expenses of such counsel incurred after notice from the Corporation of its assumption of the defense thereof shall be at the expense of the Indemnitee unless (i) the employment of counsel by the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5E5E61"/>
        </w:rPr>
        <w:t>4</w:t>
      </w:r>
    </w:p>
    <w:p>
      <w:pPr>
        <w:sectPr>
          <w:pgSz w:w="11900" w:h="16838" w:orient="portrait"/>
          <w:cols w:equalWidth="0" w:num="1">
            <w:col w:w="11200"/>
          </w:cols>
          <w:pgMar w:left="320" w:top="1413" w:right="379" w:bottom="1440" w:gutter="0" w:footer="0" w:header="0"/>
        </w:sectPr>
      </w:pPr>
    </w:p>
    <w:bookmarkStart w:id="10" w:name="page11"/>
    <w:bookmarkEnd w:id="10"/>
    <w:p>
      <w:pPr>
        <w:spacing w:after="0" w:line="253" w:lineRule="auto"/>
        <w:rPr>
          <w:sz w:val="20"/>
          <w:szCs w:val="20"/>
          <w:color w:val="auto"/>
        </w:rPr>
      </w:pPr>
      <w:r>
        <w:rPr>
          <w:rFonts w:ascii="Times New Roman" w:cs="Times New Roman" w:eastAsia="Times New Roman" w:hAnsi="Times New Roman"/>
          <w:sz w:val="20"/>
          <w:szCs w:val="20"/>
          <w:color w:val="auto"/>
        </w:rPr>
        <w:t>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without the consent of the Indemnitee, to assume the defense of any claim brought by or in the right of the Corporation or as to which counsel for the Indemnitee shall have reasonably made the conclusion provided for in clause (ii) above.</w:t>
      </w:r>
    </w:p>
    <w:p>
      <w:pPr>
        <w:spacing w:after="0" w:line="219" w:lineRule="exact"/>
        <w:rPr>
          <w:sz w:val="20"/>
          <w:szCs w:val="20"/>
          <w:color w:val="auto"/>
        </w:rPr>
      </w:pPr>
    </w:p>
    <w:p>
      <w:pPr>
        <w:ind w:right="40" w:firstLine="656"/>
        <w:spacing w:after="0" w:line="250" w:lineRule="auto"/>
        <w:tabs>
          <w:tab w:leader="none" w:pos="8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OF EXPENSES. Subject to the provisions of Section 6 below, in the event that the Corporation does not assume the defense pursuant to Section 4 of this Article of any action, suit, proceeding or investigation of which the Corporation receives notice under this Article, any expenses (including attorneys’ fees) incurred by an Indemnitee in defending a civil or criminal action, suit, proceeding or investigation or any appeal therefrom shall be paid by the Corporation in advance of the final disposition of such matter; provided, however, that, to the extent required by law, the payment of such expenses incurred by an Indemnitee in advance of the final disposition of such matter shall be made only upon receipt by the Corporation of an undertaking by or on behalf of the Indemnitee to repay all amounts so advanced in the event that it shall ultimately be determined by final judicial decision from which there is no further right to appeal that the Indemnitee is not entitled to be indemnified for such expenses under this Section or otherwise. Such undertaking shall be accepted without reference to the financial ability of the Indemnitee to make such repayment.</w:t>
      </w:r>
    </w:p>
    <w:p>
      <w:pPr>
        <w:spacing w:after="0" w:line="219" w:lineRule="exact"/>
        <w:rPr>
          <w:rFonts w:ascii="Times New Roman" w:cs="Times New Roman" w:eastAsia="Times New Roman" w:hAnsi="Times New Roman"/>
          <w:sz w:val="20"/>
          <w:szCs w:val="20"/>
          <w:color w:val="auto"/>
        </w:rPr>
      </w:pPr>
    </w:p>
    <w:p>
      <w:pPr>
        <w:ind w:right="60" w:firstLine="656"/>
        <w:spacing w:after="0" w:line="250" w:lineRule="auto"/>
        <w:tabs>
          <w:tab w:leader="none" w:pos="8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PROCEDURE FOR INDEMNIFICATION. In order to obtain indemnification or advancement of expenses pursuant to Section 1, 2, 3 or 5 of this Article, the Indemnitee shall submit to the Corporation a written request, including in such request such documentation and information as is reasonably available to the Indemnitee and is reasonably necessary to determine whether and to what extent the Indemnitee is entitled to indemnification or advancement of expenses. Any such indemnification or advancement of expenses shall be made promptly, and in any event within 60 days after receipt by the Corporation of the written request of the Indemnitee, unless with respect to requests under Section 1 or 2 the Corporation determines within such 60-day period that the Indemnitee did not meet the applicable standard of conduct set forth in Section 1 or 2, as the case may be. Such determination shall be made in each instance by (a) a majority vote of the directors of the Corporation consisting of persons who are not at that time parties to the action, suit or proceeding in question (“disinterested directors”), whether or not a quorum, (b) a majority vote of a committee of disinterested directors designated by majority vote of disinterested directors, whether or not a quorum, (c) a majority vote of a quorum of the outstanding shares of stock of all classes entitled to vote for directors, voting as a single class, which quorum shall consist of stockholders who are not at that time parties to the action, suit or proceeding in question, (d) independent legal counsel (who may, to the extent permitted by law, be regular legal counsel to the Corporation), or (e) a court of competent jurisdiction.</w:t>
      </w:r>
    </w:p>
    <w:p>
      <w:pPr>
        <w:spacing w:after="0" w:line="220" w:lineRule="exact"/>
        <w:rPr>
          <w:rFonts w:ascii="Times New Roman" w:cs="Times New Roman" w:eastAsia="Times New Roman" w:hAnsi="Times New Roman"/>
          <w:sz w:val="20"/>
          <w:szCs w:val="20"/>
          <w:color w:val="auto"/>
        </w:rPr>
      </w:pPr>
    </w:p>
    <w:p>
      <w:pPr>
        <w:ind w:right="100" w:firstLine="656"/>
        <w:spacing w:after="0" w:line="251" w:lineRule="auto"/>
        <w:tabs>
          <w:tab w:leader="none" w:pos="8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REMEDIES. The right to indemnification or advances as granted by this Article shall be enforceable by the Indemnitee in any court of competent jurisdiction if the Corporation denies such request, in whole or in part, or if no disposition thereof is made within the 60-day period referred to above in Section 6. Unless otherwise required by law, the burden of proving that the Indemnitee is not entitled to indemnification or advancement of expenses under this Article shall be on the Corporation. Neither the failure of the Corporation to have made a determination prior to the commencement of such action that indemnification is proper in the circumstances because the Indemnitee has met the applicable standard of conduct, nor an actual determination by the Corporation pursuant to Section 6 that the Indemnitee has not met such applicable standard of conduct, shall be a defense to the action or create a presumption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5</w:t>
      </w:r>
    </w:p>
    <w:p>
      <w:pPr>
        <w:sectPr>
          <w:pgSz w:w="11900" w:h="16838" w:orient="portrait"/>
          <w:cols w:equalWidth="0" w:num="1">
            <w:col w:w="11220"/>
          </w:cols>
          <w:pgMar w:left="320" w:top="1413" w:right="359" w:bottom="1440" w:gutter="0" w:footer="0" w:header="0"/>
        </w:sectPr>
      </w:pPr>
    </w:p>
    <w:bookmarkStart w:id="11" w:name="page12"/>
    <w:bookmarkEnd w:id="11"/>
    <w:p>
      <w:pPr>
        <w:ind w:right="140"/>
        <w:spacing w:after="0" w:line="261" w:lineRule="auto"/>
        <w:rPr>
          <w:sz w:val="20"/>
          <w:szCs w:val="20"/>
          <w:color w:val="auto"/>
        </w:rPr>
      </w:pPr>
      <w:r>
        <w:rPr>
          <w:rFonts w:ascii="Times New Roman" w:cs="Times New Roman" w:eastAsia="Times New Roman" w:hAnsi="Times New Roman"/>
          <w:sz w:val="20"/>
          <w:szCs w:val="20"/>
          <w:color w:val="auto"/>
        </w:rPr>
        <w:t>Indemnitee has not met the applicable standard of conduct. To the fullest extent permitted by law, the Indemnitee’s expenses (including attorneys’ fees) incurred in connection with successfully establishing the Indemnitee’s right to advancement or indemnification, in whole or in part, in any such proceeding shall also be indemnified by the Corporation.</w:t>
      </w:r>
    </w:p>
    <w:p>
      <w:pPr>
        <w:spacing w:after="0" w:line="208" w:lineRule="exact"/>
        <w:rPr>
          <w:sz w:val="20"/>
          <w:szCs w:val="20"/>
          <w:color w:val="auto"/>
        </w:rPr>
      </w:pPr>
    </w:p>
    <w:p>
      <w:pPr>
        <w:jc w:val="both"/>
        <w:ind w:right="160" w:firstLine="656"/>
        <w:spacing w:after="0" w:line="258" w:lineRule="auto"/>
        <w:tabs>
          <w:tab w:leader="none" w:pos="84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AMENDMENT. No amendment, termination or repeal of this Article or of the relevant provisions of the DGCL or any other applicable laws shall affect or diminish in any way the rights of any Indemnitee to indemnification and advancement under the provisions hereof with respect to any action, suit, proceeding or investigation arising out of or relating to any actions, transactions or facts occurring prior to the final adoption of such amendment, termination or repeal.</w:t>
      </w:r>
    </w:p>
    <w:p>
      <w:pPr>
        <w:spacing w:after="0" w:line="199" w:lineRule="exact"/>
        <w:rPr>
          <w:rFonts w:ascii="Times New Roman" w:cs="Times New Roman" w:eastAsia="Times New Roman" w:hAnsi="Times New Roman"/>
          <w:sz w:val="20"/>
          <w:szCs w:val="20"/>
          <w:color w:val="auto"/>
        </w:rPr>
      </w:pPr>
    </w:p>
    <w:p>
      <w:pPr>
        <w:ind w:firstLine="656"/>
        <w:spacing w:after="0" w:line="252" w:lineRule="auto"/>
        <w:tabs>
          <w:tab w:leader="none" w:pos="84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RIGHTS. The indemnification and advancement of expenses provided by this Article shall not be deemed exclusive of any other rights to which an Indemnitee seeking indemnification or advancement of expenses may be entitled under any law (common or statutory), agreement or vote of stockholders or disinterested directors or otherwise, both as to action in the Indemnitee’s official capacity and as to action in any other capacity while holding office for the Corporation, and shall continue as to an Indemnitee who has ceased to be a director or officer, and shall inure to the benefit of the estate, heirs, executors and administrators of the Indemnitee. Nothing contained in this Article shall be deemed to prohibit, and the Corporation is specifically authorized to enter into, agreements with officers and directors providing indemnification rights and procedures different from those set forth in this Article.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w:t>
      </w:r>
    </w:p>
    <w:p>
      <w:pPr>
        <w:spacing w:after="0" w:line="216" w:lineRule="exact"/>
        <w:rPr>
          <w:rFonts w:ascii="Times New Roman" w:cs="Times New Roman" w:eastAsia="Times New Roman" w:hAnsi="Times New Roman"/>
          <w:sz w:val="20"/>
          <w:szCs w:val="20"/>
          <w:color w:val="auto"/>
        </w:rPr>
      </w:pPr>
    </w:p>
    <w:p>
      <w:pPr>
        <w:ind w:right="140" w:firstLine="656"/>
        <w:spacing w:after="0" w:line="253" w:lineRule="auto"/>
        <w:tabs>
          <w:tab w:leader="none" w:pos="9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PARTIAL INDEMNIFICATION. If an Indemnitee is entitled under any provision of this Article to indemnification by the Corporation for some or a portion of the expenses (including attorneys’ fees) actually and reasonably incurred by the Indemnitee or on the Indemnitee’s behalf in connection with any action, suit, proceeding or investigation and any appeal therefrom but not, however, for the total amount thereof, the Corporation shall nevertheless indemnify the Indemnitee for the portion of such expenses (including attorneys’ fees) to which the Indemnitee is entitled.</w:t>
      </w:r>
    </w:p>
    <w:p>
      <w:pPr>
        <w:spacing w:after="0" w:line="205" w:lineRule="exact"/>
        <w:rPr>
          <w:rFonts w:ascii="Times New Roman" w:cs="Times New Roman" w:eastAsia="Times New Roman" w:hAnsi="Times New Roman"/>
          <w:sz w:val="20"/>
          <w:szCs w:val="20"/>
          <w:color w:val="auto"/>
        </w:rPr>
      </w:pPr>
    </w:p>
    <w:p>
      <w:pPr>
        <w:ind w:right="20" w:firstLine="656"/>
        <w:spacing w:after="0" w:line="276" w:lineRule="auto"/>
        <w:tabs>
          <w:tab w:leader="none" w:pos="93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INSURANCE.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the Indemnitee in any such capacity, or arising out of the Indemnitee’s status as such, whether or not the Corporation would have the power to indemnify such person against such expense, liability or loss under the DGCL.</w:t>
      </w:r>
    </w:p>
    <w:p>
      <w:pPr>
        <w:spacing w:after="0" w:line="196" w:lineRule="exact"/>
        <w:rPr>
          <w:rFonts w:ascii="Times New Roman" w:cs="Times New Roman" w:eastAsia="Times New Roman" w:hAnsi="Times New Roman"/>
          <w:sz w:val="19"/>
          <w:szCs w:val="19"/>
          <w:color w:val="auto"/>
        </w:rPr>
      </w:pPr>
    </w:p>
    <w:p>
      <w:pPr>
        <w:ind w:firstLine="656"/>
        <w:spacing w:after="0" w:line="258" w:lineRule="auto"/>
        <w:tabs>
          <w:tab w:leader="none" w:pos="9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MERGER OR CONSOLIDATION. If the Corporation is merged into or consolidated with another corporation and the Corporation is not the surviving corporation, the surviving corporation shall assume the obligations of the Corporation under this Article with respect to any action, suit, proceeding or investigation arising out of or relating to any actions, transactions or facts occurring prior to the date of such merger or consolidation.</w:t>
      </w:r>
    </w:p>
    <w:p>
      <w:pPr>
        <w:spacing w:after="0" w:line="199" w:lineRule="exact"/>
        <w:rPr>
          <w:rFonts w:ascii="Times New Roman" w:cs="Times New Roman" w:eastAsia="Times New Roman" w:hAnsi="Times New Roman"/>
          <w:sz w:val="20"/>
          <w:szCs w:val="20"/>
          <w:color w:val="auto"/>
        </w:rPr>
      </w:pPr>
    </w:p>
    <w:p>
      <w:pPr>
        <w:ind w:right="280" w:firstLine="656"/>
        <w:spacing w:after="0" w:line="258" w:lineRule="auto"/>
        <w:tabs>
          <w:tab w:leader="none" w:pos="9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SAVINGS CLAUSE. If this Article or any portion hereof shall be invalidated on any ground by any court of competent jurisdiction, then the Corporation shall nevertheless indemnify each Indemnitee as to any expenses (including attorneys’ fees), judgments, fines and amounts paid in settlement in connection with any action, suit, proceeding or investigation, whether civil, criminal or administrative, including, without limitation, an action by or in the right of the Corporation, to the fullest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6</w:t>
      </w:r>
    </w:p>
    <w:p>
      <w:pPr>
        <w:sectPr>
          <w:pgSz w:w="11900" w:h="16838" w:orient="portrait"/>
          <w:cols w:equalWidth="0" w:num="1">
            <w:col w:w="11220"/>
          </w:cols>
          <w:pgMar w:left="320" w:top="1413" w:right="359" w:bottom="1440" w:gutter="0" w:footer="0" w:header="0"/>
        </w:sectPr>
      </w:pPr>
    </w:p>
    <w:bookmarkStart w:id="12" w:name="page13"/>
    <w:bookmarkEnd w:id="12"/>
    <w:p>
      <w:pPr>
        <w:ind w:right="100"/>
        <w:spacing w:after="0" w:line="283" w:lineRule="auto"/>
        <w:rPr>
          <w:sz w:val="20"/>
          <w:szCs w:val="20"/>
          <w:color w:val="auto"/>
        </w:rPr>
      </w:pPr>
      <w:r>
        <w:rPr>
          <w:rFonts w:ascii="Times New Roman" w:cs="Times New Roman" w:eastAsia="Times New Roman" w:hAnsi="Times New Roman"/>
          <w:sz w:val="20"/>
          <w:szCs w:val="20"/>
          <w:color w:val="auto"/>
        </w:rPr>
        <w:t>extent permitted by any applicable portion of this Article EIGHTH that shall not have been invalidated and to the fullest extent permitted by applicable law.</w:t>
      </w:r>
    </w:p>
    <w:p>
      <w:pPr>
        <w:spacing w:after="0" w:line="173" w:lineRule="exact"/>
        <w:rPr>
          <w:sz w:val="20"/>
          <w:szCs w:val="20"/>
          <w:color w:val="auto"/>
        </w:rPr>
      </w:pPr>
    </w:p>
    <w:p>
      <w:pPr>
        <w:ind w:right="480" w:firstLine="656"/>
        <w:spacing w:after="0" w:line="283" w:lineRule="auto"/>
        <w:tabs>
          <w:tab w:leader="none" w:pos="94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 Terms used herein and defined in Section 145(h) and Section 145(i) of the DGCL shall have the respective meanings assigned to such terms in such Section 145(h) and Section 145(i).</w:t>
      </w:r>
    </w:p>
    <w:p>
      <w:pPr>
        <w:spacing w:after="0" w:line="173" w:lineRule="exact"/>
        <w:rPr>
          <w:rFonts w:ascii="Times New Roman" w:cs="Times New Roman" w:eastAsia="Times New Roman" w:hAnsi="Times New Roman"/>
          <w:sz w:val="20"/>
          <w:szCs w:val="20"/>
          <w:color w:val="auto"/>
        </w:rPr>
      </w:pPr>
    </w:p>
    <w:p>
      <w:pPr>
        <w:ind w:right="140" w:firstLine="656"/>
        <w:spacing w:after="0" w:line="268" w:lineRule="auto"/>
        <w:tabs>
          <w:tab w:leader="none" w:pos="94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LEGISLATION. If the DGCL is amended after adoption of this Article to expand further the indemnification and advancement permitted to Indemnitees, then the Corporation shall indemnify such persons to the fullest extent permitted by the DGCL, as so amended.</w:t>
      </w:r>
    </w:p>
    <w:p>
      <w:pPr>
        <w:spacing w:after="0" w:line="18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NINTH. The Corporation reserves the right to amend, alter, change or repeal any provision contained in this Certificate of Incorporation in the manner prescribed by the laws of the State of Delaware and this Certificate of Incorporation, and all rights conferred upon stockholders herein are granted subject to this reservation.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TENTH. This Article is inserted for the management of the business and for the conduct of the affairs of the Corporation.</w:t>
      </w:r>
    </w:p>
    <w:p>
      <w:pPr>
        <w:spacing w:after="0" w:line="256" w:lineRule="exact"/>
        <w:rPr>
          <w:sz w:val="20"/>
          <w:szCs w:val="20"/>
          <w:color w:val="auto"/>
        </w:rPr>
      </w:pPr>
    </w:p>
    <w:p>
      <w:pPr>
        <w:ind w:right="460" w:firstLine="656"/>
        <w:spacing w:after="0" w:line="261" w:lineRule="auto"/>
        <w:tabs>
          <w:tab w:leader="none" w:pos="8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DIRECTORS. The number of directors of the Corporation shall not be less than three. The exact number of directors within the limitations specified in the preceding sentence shall be fixed from time to time by, or in the manner provided in, the Corporation’s By-Laws.</w:t>
      </w:r>
    </w:p>
    <w:p>
      <w:pPr>
        <w:spacing w:after="0" w:line="194" w:lineRule="exact"/>
        <w:rPr>
          <w:rFonts w:ascii="Times New Roman" w:cs="Times New Roman" w:eastAsia="Times New Roman" w:hAnsi="Times New Roman"/>
          <w:sz w:val="20"/>
          <w:szCs w:val="20"/>
          <w:color w:val="auto"/>
        </w:rPr>
      </w:pPr>
    </w:p>
    <w:p>
      <w:pPr>
        <w:ind w:right="80" w:firstLine="656"/>
        <w:spacing w:after="0" w:line="283" w:lineRule="auto"/>
        <w:tabs>
          <w:tab w:leader="none" w:pos="8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ELECTION OF DIRECTORS. Elections of directors need not be by written ballot except as and to the extent provided in the By-Laws of the Corporation.</w:t>
      </w:r>
    </w:p>
    <w:p>
      <w:pPr>
        <w:spacing w:after="0" w:line="186" w:lineRule="exact"/>
        <w:rPr>
          <w:rFonts w:ascii="Times New Roman" w:cs="Times New Roman" w:eastAsia="Times New Roman" w:hAnsi="Times New Roman"/>
          <w:sz w:val="20"/>
          <w:szCs w:val="20"/>
          <w:color w:val="auto"/>
        </w:rPr>
      </w:pPr>
    </w:p>
    <w:p>
      <w:pPr>
        <w:ind w:right="180" w:firstLine="656"/>
        <w:spacing w:after="0" w:line="295" w:lineRule="auto"/>
        <w:tabs>
          <w:tab w:leader="none" w:pos="84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TERMS OF OFFICE. Each director shall be elected for a term expiring at the next succeeding annual meeting. The term of each director shall be subject to the election and qualification of his or her successor and to his or her earlier death, resignation or removal.</w:t>
      </w:r>
    </w:p>
    <w:p>
      <w:pPr>
        <w:spacing w:after="0" w:line="178" w:lineRule="exact"/>
        <w:rPr>
          <w:rFonts w:ascii="Times New Roman" w:cs="Times New Roman" w:eastAsia="Times New Roman" w:hAnsi="Times New Roman"/>
          <w:sz w:val="19"/>
          <w:szCs w:val="19"/>
          <w:color w:val="auto"/>
        </w:rPr>
      </w:pPr>
    </w:p>
    <w:p>
      <w:pPr>
        <w:ind w:firstLine="656"/>
        <w:spacing w:after="0" w:line="253" w:lineRule="auto"/>
        <w:tabs>
          <w:tab w:leader="none" w:pos="8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QUORUM; ACTION AT MEETING. A majority of the directors at any time in office shall constitute a quorum for the transaction of business, provided that in no case shall less than one-third of the number of directors fixed pursuant to Section 1 above constitute a quorum. If at any meeting of the Board of Directors there shall be less than such a quorum, a majority of those present may adjourn the meeting from time to time. Every act or decision done or made by a majority of the directors present at a meeting duly held at which a quorum is present shall be regarded as the act of the Board of Directors unless a greater number is required by law, by the By-Laws of the Corporation or by this Certificate of Incorporation.</w:t>
      </w:r>
    </w:p>
    <w:p>
      <w:pPr>
        <w:spacing w:after="0" w:line="205" w:lineRule="exact"/>
        <w:rPr>
          <w:rFonts w:ascii="Times New Roman" w:cs="Times New Roman" w:eastAsia="Times New Roman" w:hAnsi="Times New Roman"/>
          <w:sz w:val="20"/>
          <w:szCs w:val="20"/>
          <w:color w:val="auto"/>
        </w:rPr>
      </w:pPr>
    </w:p>
    <w:p>
      <w:pPr>
        <w:ind w:right="100" w:firstLine="656"/>
        <w:spacing w:after="0" w:line="261" w:lineRule="auto"/>
        <w:tabs>
          <w:tab w:leader="none" w:pos="8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Any director of the Corporation may be removed, with or without cause, by the affirmative vote of the holders of a majority of the voting power of the shares of the capital stock of the Corporation issued and outstanding and entitled to vote generally in the election of such director.</w:t>
      </w:r>
    </w:p>
    <w:p>
      <w:pPr>
        <w:spacing w:after="0" w:line="208" w:lineRule="exact"/>
        <w:rPr>
          <w:rFonts w:ascii="Times New Roman" w:cs="Times New Roman" w:eastAsia="Times New Roman" w:hAnsi="Times New Roman"/>
          <w:sz w:val="20"/>
          <w:szCs w:val="20"/>
          <w:color w:val="auto"/>
        </w:rPr>
      </w:pPr>
    </w:p>
    <w:p>
      <w:pPr>
        <w:ind w:right="120" w:firstLine="656"/>
        <w:spacing w:after="0" w:line="276" w:lineRule="auto"/>
        <w:tabs>
          <w:tab w:leader="none" w:pos="84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VACANCIES. Any vacancy in the Board of Directors, however occurring, or any newly created directorship resulting from an increase in the authorized number of directors, shall be filled only by a vote of a majority of the directors then in office, although less than a quorum, or by a sole remaining director. A director elected to fill a vacancy shall be elected for the unexpired term of his or her predecessor in office, subject to the election and qualification of his or her successor and to his or her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5E5E61"/>
        </w:rPr>
        <w:t>7</w:t>
      </w:r>
    </w:p>
    <w:p>
      <w:pPr>
        <w:sectPr>
          <w:pgSz w:w="11900" w:h="16838" w:orient="portrait"/>
          <w:cols w:equalWidth="0" w:num="1">
            <w:col w:w="11200"/>
          </w:cols>
          <w:pgMar w:left="320" w:top="1413" w:right="379" w:bottom="1440" w:gutter="0" w:footer="0" w:header="0"/>
        </w:sectPr>
      </w:pPr>
    </w:p>
    <w:bookmarkStart w:id="13" w:name="page14"/>
    <w:bookmarkEnd w:id="13"/>
    <w:p>
      <w:pPr>
        <w:spacing w:after="0" w:line="216" w:lineRule="exact"/>
        <w:rPr>
          <w:sz w:val="20"/>
          <w:szCs w:val="20"/>
          <w:color w:val="auto"/>
        </w:rPr>
      </w:pPr>
    </w:p>
    <w:p>
      <w:pPr>
        <w:ind w:right="140" w:firstLine="656"/>
        <w:spacing w:after="0" w:line="261" w:lineRule="auto"/>
        <w:tabs>
          <w:tab w:leader="none" w:pos="84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 NOMINATIONS AND INTRODUCTION OF BUSINESS, ETC. Advance notice of stockholder nominations for election of directors and other business to be brought by stockholders before a meeting of stockholders shall be given in the manner provided by the ByLaws­ of the Corporation.</w:t>
      </w:r>
    </w:p>
    <w:p>
      <w:pPr>
        <w:spacing w:after="0" w:line="208" w:lineRule="exact"/>
        <w:rPr>
          <w:rFonts w:ascii="Times New Roman" w:cs="Times New Roman" w:eastAsia="Times New Roman" w:hAnsi="Times New Roman"/>
          <w:sz w:val="20"/>
          <w:szCs w:val="20"/>
          <w:color w:val="auto"/>
        </w:rPr>
      </w:pPr>
    </w:p>
    <w:p>
      <w:pPr>
        <w:jc w:val="both"/>
        <w:ind w:right="40" w:firstLine="656"/>
        <w:spacing w:after="0" w:line="267" w:lineRule="auto"/>
        <w:tabs>
          <w:tab w:leader="none" w:pos="84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AMENDMENTS TO ARTICLE. Notwithstanding any other provisions of law, this Certificate of Incorporation or the By-Laws of the Corporation, the affirmative vote of the holders of at least a majority of the voting power of the shares of capital stock of the Corporation issued and outstanding and entitled to vote shall be required to amend or repeal, or to adopt any provision inconsistent with, this Article</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TENTH.</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ELEVENTH. Stockholders of the Corporation may not take any action by written consent in lieu of a meeting. Notwithstanding any other provisions of law, this Certificate of Incorporation or the By-Laws of the Corporation, the affirmative vote of the holders of at least a majority of the voting power of the shares of capital stock of the Corporation issued and outstanding and entitled to vote shall be required to amend or repeal, or to adopt any provision inconsistent with, this Article ELEVENTH.</w:t>
      </w:r>
    </w:p>
    <w:p>
      <w:pPr>
        <w:spacing w:after="0" w:line="19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TWELFTH. Special meetings of stockholders (i) may be called at any time by the Chair of the Board of Directors, the Chief Executive Officer or the Board of Directors or (ii) shall be called by the Secretary upon the written request of stockholders or beneficial owners owning at least twenty-five (25%) in amount of the issued and outstanding shares of capital stock of the Corporation and entitled to vote at the special meeting. The Corporation’s By-Laws may contain other procedures, requirements and conditions relating to a request for a special meeting. Special meetings of stockholders may not be called by any other persons. Business transacted at any special meeting of stockholders shall be limited to matters relating to the purpose or purposes stated in the notice of meeting. Notwithstanding any other provision of law, this Certificate of Incorporation or the By-Laws of the Corporation, the affirmative vote of the holders of at least a majority of the voting power of the shares of capital stock of the Corporation issued and outstanding and entitled to vote shall be required to amend or repeal, or to adopt any provision inconsistent with, this Article TWELFTH.</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5E5E61"/>
        </w:rPr>
        <w:t>8</w:t>
      </w:r>
    </w:p>
    <w:p>
      <w:pPr>
        <w:sectPr>
          <w:pgSz w:w="11900" w:h="16838" w:orient="portrait"/>
          <w:cols w:equalWidth="0" w:num="1">
            <w:col w:w="11200"/>
          </w:cols>
          <w:pgMar w:left="320" w:top="1440" w:right="379" w:bottom="1440" w:gutter="0" w:footer="0" w:header="0"/>
        </w:sectPr>
      </w:pPr>
    </w:p>
    <w:bookmarkStart w:id="14" w:name="page15"/>
    <w:bookmarkEnd w:id="14"/>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Corporation has caused this Amended and Restated Certificate of Incorporation to be signed by a duly authorized officer this 13th day of May, 2026.</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AKAMAI TECHNOLOGIES, INC.</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Aaron S. Ahola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-10795</wp:posOffset>
            </wp:positionV>
            <wp:extent cx="1689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Aaron S. Ahola</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5E5E61"/>
        </w:rPr>
        <w:t>9</w:t>
      </w:r>
    </w:p>
    <w:p>
      <w:pPr>
        <w:sectPr>
          <w:pgSz w:w="11900" w:h="16838" w:orient="portrait"/>
          <w:cols w:equalWidth="0" w:num="1">
            <w:col w:w="10840"/>
          </w:cols>
          <w:pgMar w:left="320" w:top="1440" w:right="739" w:bottom="1440" w:gutter="0" w:footer="0" w:header="0"/>
        </w:sectPr>
      </w:pPr>
    </w:p>
    <w:bookmarkStart w:id="15" w:name="page16"/>
    <w:bookmarkEnd w:id="15"/>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Certificate of Designations of Series A Junior Participating Preferred Stock</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CERTIFICATE OF DESIGNATIONS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SERIES A JUNIOR PARTICIPATING PREFERRED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AKAMAI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3508375</wp:posOffset>
            </wp:positionH>
            <wp:positionV relativeFrom="paragraph">
              <wp:posOffset>236855</wp:posOffset>
            </wp:positionV>
            <wp:extent cx="125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60"/>
        <w:spacing w:after="0" w:line="345" w:lineRule="auto"/>
        <w:rPr>
          <w:sz w:val="20"/>
          <w:szCs w:val="20"/>
          <w:color w:val="auto"/>
        </w:rPr>
      </w:pPr>
      <w:r>
        <w:rPr>
          <w:rFonts w:ascii="Times New Roman" w:cs="Times New Roman" w:eastAsia="Times New Roman" w:hAnsi="Times New Roman"/>
          <w:sz w:val="20"/>
          <w:szCs w:val="20"/>
          <w:color w:val="auto"/>
        </w:rPr>
        <w:t>Akamai Technologies, Inc., a corporation organized and existing under the laws of the State of Delaware (hereinafter called the “Corporation”), hereby certifies that the following resolution was adopted by the Board of Directors of the Corporation at a meeting duly called and held on September 10, 2002:</w:t>
      </w:r>
    </w:p>
    <w:p>
      <w:pPr>
        <w:spacing w:after="0" w:line="169" w:lineRule="exact"/>
        <w:rPr>
          <w:sz w:val="20"/>
          <w:szCs w:val="20"/>
          <w:color w:val="auto"/>
        </w:rPr>
      </w:pPr>
    </w:p>
    <w:p>
      <w:pPr>
        <w:spacing w:after="0" w:line="343" w:lineRule="auto"/>
        <w:rPr>
          <w:sz w:val="20"/>
          <w:szCs w:val="20"/>
          <w:color w:val="auto"/>
        </w:rPr>
      </w:pPr>
      <w:r>
        <w:rPr>
          <w:rFonts w:ascii="Times New Roman" w:cs="Times New Roman" w:eastAsia="Times New Roman" w:hAnsi="Times New Roman"/>
          <w:sz w:val="20"/>
          <w:szCs w:val="20"/>
          <w:color w:val="auto"/>
        </w:rPr>
        <w:t>RESOLVED: That pursuant to the authority granted to and vested in the Board of Directors of the Corporation (hereinafter called the “Board”) in accordance with the provisions of the Certificate of Incorporation, as amended, the Board hereby creates a series of Preferred Stock, $0.01 par value per share (the “Preferred Stock”), of the Corporation and hereby states the designation and number of shares, and fixes the relative rights, preferences and limitations thereof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Series A Junior Participating Preferred Stock:</w:t>
      </w:r>
    </w:p>
    <w:p>
      <w:pPr>
        <w:spacing w:after="0" w:line="301" w:lineRule="exact"/>
        <w:rPr>
          <w:sz w:val="20"/>
          <w:szCs w:val="20"/>
          <w:color w:val="auto"/>
        </w:rPr>
      </w:pPr>
    </w:p>
    <w:p>
      <w:pPr>
        <w:ind w:firstLine="648"/>
        <w:spacing w:after="0" w:line="34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Designation and Amount</w:t>
      </w:r>
      <w:r>
        <w:rPr>
          <w:rFonts w:ascii="Times New Roman" w:cs="Times New Roman" w:eastAsia="Times New Roman" w:hAnsi="Times New Roman"/>
          <w:sz w:val="20"/>
          <w:szCs w:val="20"/>
          <w:color w:val="auto"/>
        </w:rPr>
        <w:t>. The shares of such series shall be designated as “Series A Junior Participating Preferred Stock” (the “Series A Preferred Stock”) and the number of shares constituting the Series A Preferred Stock shall be seven hundred thousand (700,000). Such number of shares may be increased or decreased by resolution of the Board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7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u w:val="single" w:color="auto"/>
          <w:color w:val="auto"/>
        </w:rPr>
        <w:t>Dividends and Distributions</w:t>
      </w:r>
      <w:r>
        <w:rPr>
          <w:rFonts w:ascii="Times New Roman" w:cs="Times New Roman" w:eastAsia="Times New Roman" w:hAnsi="Times New Roman"/>
          <w:sz w:val="19"/>
          <w:szCs w:val="19"/>
          <w:color w:val="auto"/>
        </w:rPr>
        <w:t>.</w:t>
      </w:r>
    </w:p>
    <w:p>
      <w:pPr>
        <w:spacing w:after="0" w:line="310" w:lineRule="exact"/>
        <w:rPr>
          <w:sz w:val="20"/>
          <w:szCs w:val="20"/>
          <w:color w:val="auto"/>
        </w:rPr>
      </w:pPr>
    </w:p>
    <w:p>
      <w:pPr>
        <w:ind w:right="440" w:firstLine="656"/>
        <w:spacing w:after="0" w:line="343" w:lineRule="auto"/>
        <w:tabs>
          <w:tab w:leader="none" w:pos="112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$0.01 per share (the “Common Stock”), of the Corporation, and of any other junior stock, shall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A-1</w:t>
      </w:r>
    </w:p>
    <w:p>
      <w:pPr>
        <w:sectPr>
          <w:pgSz w:w="11900" w:h="16838" w:orient="portrait"/>
          <w:cols w:equalWidth="0" w:num="1">
            <w:col w:w="11220"/>
          </w:cols>
          <w:pgMar w:left="320" w:top="1440" w:right="359" w:bottom="1440" w:gutter="0" w:footer="0" w:header="0"/>
        </w:sectPr>
      </w:pPr>
    </w:p>
    <w:bookmarkStart w:id="16" w:name="page17"/>
    <w:bookmarkEnd w:id="16"/>
    <w:p>
      <w:pPr>
        <w:spacing w:after="0" w:line="230"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20"/>
          <w:szCs w:val="20"/>
          <w:color w:val="auto"/>
        </w:rPr>
        <w:t>to receive, when, as and if declared by the Board out of funds of the Corporation legally available for the 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181" w:lineRule="exact"/>
        <w:rPr>
          <w:sz w:val="20"/>
          <w:szCs w:val="20"/>
          <w:color w:val="auto"/>
        </w:rPr>
      </w:pPr>
    </w:p>
    <w:p>
      <w:pPr>
        <w:ind w:right="240" w:firstLine="656"/>
        <w:spacing w:after="0" w:line="341" w:lineRule="auto"/>
        <w:tabs>
          <w:tab w:leader="none" w:pos="110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A-2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30" w:lineRule="exact"/>
        <w:rPr>
          <w:sz w:val="20"/>
          <w:szCs w:val="20"/>
          <w:color w:val="auto"/>
        </w:rPr>
      </w:pPr>
    </w:p>
    <w:p>
      <w:pPr>
        <w:ind w:right="920"/>
        <w:spacing w:after="0" w:line="367" w:lineRule="auto"/>
        <w:rPr>
          <w:sz w:val="20"/>
          <w:szCs w:val="20"/>
          <w:color w:val="auto"/>
        </w:rPr>
      </w:pPr>
      <w:r>
        <w:rPr>
          <w:rFonts w:ascii="Times New Roman" w:cs="Times New Roman" w:eastAsia="Times New Roman" w:hAnsi="Times New Roman"/>
          <w:sz w:val="20"/>
          <w:szCs w:val="20"/>
          <w:color w:val="auto"/>
        </w:rPr>
        <w:t>Date and the next subsequent Quarterly Dividend Payment Date, a dividend of $10 per share on the Series A Preferred Stock shall nevertheless be payable on such subsequent Quarterly Dividend Payment Date.</w:t>
      </w:r>
    </w:p>
    <w:p>
      <w:pPr>
        <w:spacing w:after="0" w:line="147" w:lineRule="exact"/>
        <w:rPr>
          <w:sz w:val="20"/>
          <w:szCs w:val="20"/>
          <w:color w:val="auto"/>
        </w:rPr>
      </w:pPr>
    </w:p>
    <w:p>
      <w:pPr>
        <w:ind w:firstLine="656"/>
        <w:spacing w:after="0" w:line="355" w:lineRule="auto"/>
        <w:tabs>
          <w:tab w:leader="none" w:pos="111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w:t>
      </w:r>
      <w:r>
        <w:rPr>
          <w:rFonts w:ascii="Times New Roman" w:cs="Times New Roman" w:eastAsia="Times New Roman" w:hAnsi="Times New Roman"/>
          <w:sz w:val="19"/>
          <w:szCs w:val="19"/>
          <w:u w:val="single" w:color="auto"/>
          <w:color w:val="auto"/>
        </w:rPr>
        <w:t>umu</w:t>
      </w:r>
      <w:r>
        <w:rPr>
          <w:rFonts w:ascii="Times New Roman" w:cs="Times New Roman" w:eastAsia="Times New Roman" w:hAnsi="Times New Roman"/>
          <w:sz w:val="19"/>
          <w:szCs w:val="19"/>
          <w:color w:val="auto"/>
        </w:rPr>
        <w:t>l</w:t>
      </w:r>
      <w:r>
        <w:rPr>
          <w:rFonts w:ascii="Times New Roman" w:cs="Times New Roman" w:eastAsia="Times New Roman" w:hAnsi="Times New Roman"/>
          <w:sz w:val="19"/>
          <w:szCs w:val="19"/>
          <w:u w:val="single" w:color="auto"/>
          <w:color w:val="auto"/>
        </w:rPr>
        <w:t>ati</w:t>
      </w:r>
      <w:r>
        <w:rPr>
          <w:rFonts w:ascii="Times New Roman" w:cs="Times New Roman" w:eastAsia="Times New Roman" w:hAnsi="Times New Roman"/>
          <w:sz w:val="19"/>
          <w:szCs w:val="19"/>
          <w:color w:val="auto"/>
        </w:rPr>
        <w:t>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17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Voting Rights</w:t>
      </w:r>
      <w:r>
        <w:rPr>
          <w:rFonts w:ascii="Times New Roman" w:cs="Times New Roman" w:eastAsia="Times New Roman" w:hAnsi="Times New Roman"/>
          <w:sz w:val="19"/>
          <w:szCs w:val="19"/>
          <w:color w:val="auto"/>
        </w:rPr>
        <w:t>. The holders of shares of Series A Preferred Stock shall have the following voting rights:</w:t>
      </w:r>
    </w:p>
    <w:p>
      <w:pPr>
        <w:spacing w:after="0" w:line="310" w:lineRule="exact"/>
        <w:rPr>
          <w:sz w:val="20"/>
          <w:szCs w:val="20"/>
          <w:color w:val="auto"/>
        </w:rPr>
      </w:pPr>
    </w:p>
    <w:p>
      <w:pPr>
        <w:ind w:right="20" w:firstLine="656"/>
        <w:spacing w:after="0" w:line="335" w:lineRule="auto"/>
        <w:tabs>
          <w:tab w:leader="none" w:pos="112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A-3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30" w:lineRule="exact"/>
        <w:rPr>
          <w:sz w:val="20"/>
          <w:szCs w:val="20"/>
          <w:color w:val="auto"/>
        </w:rPr>
      </w:pPr>
    </w:p>
    <w:p>
      <w:pPr>
        <w:jc w:val="both"/>
        <w:ind w:right="160"/>
        <w:spacing w:after="0" w:line="345" w:lineRule="auto"/>
        <w:rPr>
          <w:sz w:val="20"/>
          <w:szCs w:val="20"/>
          <w:color w:val="auto"/>
        </w:rPr>
      </w:pPr>
      <w:r>
        <w:rPr>
          <w:rFonts w:ascii="Times New Roman" w:cs="Times New Roman" w:eastAsia="Times New Roman" w:hAnsi="Times New Roman"/>
          <w:sz w:val="20"/>
          <w:szCs w:val="20"/>
          <w:color w:val="auto"/>
        </w:rPr>
        <w:t>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183" w:lineRule="exact"/>
        <w:rPr>
          <w:sz w:val="20"/>
          <w:szCs w:val="20"/>
          <w:color w:val="auto"/>
        </w:rPr>
      </w:pPr>
    </w:p>
    <w:p>
      <w:pPr>
        <w:ind w:right="220" w:firstLine="656"/>
        <w:spacing w:after="0" w:line="345" w:lineRule="auto"/>
        <w:tabs>
          <w:tab w:leader="none" w:pos="111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in the Certificate of Incorporation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82" w:lineRule="exact"/>
        <w:rPr>
          <w:rFonts w:ascii="Times New Roman" w:cs="Times New Roman" w:eastAsia="Times New Roman" w:hAnsi="Times New Roman"/>
          <w:sz w:val="20"/>
          <w:szCs w:val="20"/>
          <w:color w:val="auto"/>
        </w:rPr>
      </w:pPr>
    </w:p>
    <w:p>
      <w:pPr>
        <w:ind w:right="120" w:firstLine="656"/>
        <w:spacing w:after="0" w:line="338" w:lineRule="auto"/>
        <w:tabs>
          <w:tab w:leader="none" w:pos="111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members of the Board in addition to any Directors elected by any other series, class or classes of securities and the authorized number of Directors will automatically be increased by two. Promptly thereafter, the Board of the Corporation shall, as soon as may be practicable, call a special meeting of holders of Series A Preferred Stock for the purpose of electing such members of the Board. Such special meeting shall in any event be held within 45 days of the occurrence of such arrearage.</w:t>
      </w:r>
    </w:p>
    <w:p>
      <w:pPr>
        <w:spacing w:after="0" w:line="176" w:lineRule="exact"/>
        <w:rPr>
          <w:rFonts w:ascii="Times New Roman" w:cs="Times New Roman" w:eastAsia="Times New Roman" w:hAnsi="Times New Roman"/>
          <w:sz w:val="20"/>
          <w:szCs w:val="20"/>
          <w:color w:val="auto"/>
        </w:rPr>
      </w:pPr>
    </w:p>
    <w:p>
      <w:pPr>
        <w:ind w:right="80" w:firstLine="1304"/>
        <w:spacing w:after="0" w:line="338" w:lineRule="auto"/>
        <w:tabs>
          <w:tab w:leader="none" w:pos="1681"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 each such additional Director shall not be a member of any existing class of the Board, but shall serve until the next annual meeting of stockholders for the election of Directors, or until his successor shall be elected and shall qualify, or until his right to hold such office terminates pursuant to the provisions of this Section 3(C).</w:t>
      </w:r>
    </w:p>
    <w:p>
      <w:pPr>
        <w:spacing w:after="0" w:line="189" w:lineRule="exact"/>
        <w:rPr>
          <w:rFonts w:ascii="Times New Roman" w:cs="Times New Roman" w:eastAsia="Times New Roman" w:hAnsi="Times New Roman"/>
          <w:sz w:val="20"/>
          <w:szCs w:val="20"/>
          <w:color w:val="auto"/>
        </w:rPr>
      </w:pPr>
    </w:p>
    <w:p>
      <w:pPr>
        <w:ind w:right="520" w:firstLine="1304"/>
        <w:spacing w:after="0" w:line="367" w:lineRule="auto"/>
        <w:tabs>
          <w:tab w:leader="none" w:pos="1725"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elected pursuant to the terms hereof may be removed with or without cause by the holders of Series A Preferred Stock entitled to vote in an election of such Director.</w:t>
      </w:r>
    </w:p>
    <w:p>
      <w:pPr>
        <w:spacing w:after="0" w:line="147" w:lineRule="exact"/>
        <w:rPr>
          <w:rFonts w:ascii="Times New Roman" w:cs="Times New Roman" w:eastAsia="Times New Roman" w:hAnsi="Times New Roman"/>
          <w:sz w:val="20"/>
          <w:szCs w:val="20"/>
          <w:color w:val="auto"/>
        </w:rPr>
      </w:pPr>
    </w:p>
    <w:p>
      <w:pPr>
        <w:ind w:firstLine="1304"/>
        <w:spacing w:after="0" w:line="341" w:lineRule="auto"/>
        <w:tabs>
          <w:tab w:leader="none" w:pos="1791"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shall call a special meeting of the holders of Series A Preferred Stock for the purpose of filling such vacancy and such vacancy shall be filled at such special meeting. Such special meeting shall in any event be held within 45 days of the occurrence of such vacancy.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A-4</w:t>
      </w:r>
    </w:p>
    <w:p>
      <w:pPr>
        <w:sectPr>
          <w:pgSz w:w="11900" w:h="16838" w:orient="portrait"/>
          <w:cols w:equalWidth="0" w:num="1">
            <w:col w:w="11220"/>
          </w:cols>
          <w:pgMar w:left="320" w:top="1440" w:right="359" w:bottom="1440" w:gutter="0" w:footer="0" w:header="0"/>
        </w:sectPr>
      </w:pPr>
    </w:p>
    <w:bookmarkStart w:id="19" w:name="page20"/>
    <w:bookmarkEnd w:id="19"/>
    <w:p>
      <w:pPr>
        <w:spacing w:after="0" w:line="230" w:lineRule="exact"/>
        <w:rPr>
          <w:sz w:val="20"/>
          <w:szCs w:val="20"/>
          <w:color w:val="auto"/>
        </w:rPr>
      </w:pPr>
    </w:p>
    <w:p>
      <w:pPr>
        <w:ind w:left="-20" w:firstLine="1304"/>
        <w:spacing w:after="0" w:line="338" w:lineRule="auto"/>
        <w:tabs>
          <w:tab w:leader="none" w:pos="174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spacing w:after="0" w:line="189" w:lineRule="exact"/>
        <w:rPr>
          <w:rFonts w:ascii="Times New Roman" w:cs="Times New Roman" w:eastAsia="Times New Roman" w:hAnsi="Times New Roman"/>
          <w:sz w:val="20"/>
          <w:szCs w:val="20"/>
          <w:color w:val="auto"/>
        </w:rPr>
      </w:pPr>
    </w:p>
    <w:p>
      <w:pPr>
        <w:ind w:left="-20" w:right="80" w:firstLine="656"/>
        <w:spacing w:after="0" w:line="345" w:lineRule="auto"/>
        <w:tabs>
          <w:tab w:leader="none" w:pos="110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169"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u w:val="single" w:color="auto"/>
          <w:color w:val="auto"/>
        </w:rPr>
        <w:t>Certain Restrictions</w:t>
      </w:r>
      <w:r>
        <w:rPr>
          <w:rFonts w:ascii="Times New Roman" w:cs="Times New Roman" w:eastAsia="Times New Roman" w:hAnsi="Times New Roman"/>
          <w:sz w:val="19"/>
          <w:szCs w:val="19"/>
          <w:color w:val="auto"/>
        </w:rPr>
        <w:t>.</w:t>
      </w:r>
    </w:p>
    <w:p>
      <w:pPr>
        <w:spacing w:after="0" w:line="310" w:lineRule="exact"/>
        <w:rPr>
          <w:sz w:val="20"/>
          <w:szCs w:val="20"/>
          <w:color w:val="auto"/>
        </w:rPr>
      </w:pPr>
    </w:p>
    <w:p>
      <w:pPr>
        <w:ind w:left="-20" w:right="20" w:firstLine="656"/>
        <w:spacing w:after="0" w:line="345" w:lineRule="auto"/>
        <w:tabs>
          <w:tab w:leader="none" w:pos="109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182" w:lineRule="exact"/>
        <w:rPr>
          <w:rFonts w:ascii="Times New Roman" w:cs="Times New Roman" w:eastAsia="Times New Roman" w:hAnsi="Times New Roman"/>
          <w:sz w:val="20"/>
          <w:szCs w:val="20"/>
          <w:color w:val="auto"/>
        </w:rPr>
      </w:pPr>
    </w:p>
    <w:p>
      <w:pPr>
        <w:ind w:left="-20" w:right="200" w:firstLine="1304"/>
        <w:spacing w:after="0" w:line="367" w:lineRule="auto"/>
        <w:tabs>
          <w:tab w:leader="none" w:pos="1661"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dividends, or make any other distributions, on any shares of stock ranking junior (either as to dividends or upon liquidation, dissolution or winding up) to the Series A Preferred Stock;</w:t>
      </w:r>
    </w:p>
    <w:p>
      <w:pPr>
        <w:spacing w:after="0" w:line="147" w:lineRule="exact"/>
        <w:rPr>
          <w:rFonts w:ascii="Times New Roman" w:cs="Times New Roman" w:eastAsia="Times New Roman" w:hAnsi="Times New Roman"/>
          <w:sz w:val="20"/>
          <w:szCs w:val="20"/>
          <w:color w:val="auto"/>
        </w:rPr>
      </w:pPr>
    </w:p>
    <w:p>
      <w:pPr>
        <w:ind w:left="-20" w:right="100" w:firstLine="1304"/>
        <w:spacing w:after="0" w:line="343" w:lineRule="auto"/>
        <w:tabs>
          <w:tab w:leader="none" w:pos="171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83" w:lineRule="exact"/>
        <w:rPr>
          <w:rFonts w:ascii="Times New Roman" w:cs="Times New Roman" w:eastAsia="Times New Roman" w:hAnsi="Times New Roman"/>
          <w:sz w:val="20"/>
          <w:szCs w:val="20"/>
          <w:color w:val="auto"/>
        </w:rPr>
      </w:pPr>
    </w:p>
    <w:p>
      <w:pPr>
        <w:jc w:val="both"/>
        <w:ind w:left="-20" w:right="40" w:firstLine="1304"/>
        <w:spacing w:after="0" w:line="338" w:lineRule="auto"/>
        <w:tabs>
          <w:tab w:leader="none" w:pos="1771"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189" w:lineRule="exact"/>
        <w:rPr>
          <w:rFonts w:ascii="Times New Roman" w:cs="Times New Roman" w:eastAsia="Times New Roman" w:hAnsi="Times New Roman"/>
          <w:sz w:val="20"/>
          <w:szCs w:val="20"/>
          <w:color w:val="auto"/>
        </w:rPr>
      </w:pPr>
    </w:p>
    <w:p>
      <w:pPr>
        <w:ind w:left="-20" w:right="100" w:firstLine="1304"/>
        <w:spacing w:after="0" w:line="345" w:lineRule="auto"/>
        <w:tabs>
          <w:tab w:leader="none" w:pos="176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A-5</w:t>
      </w:r>
    </w:p>
    <w:p>
      <w:pPr>
        <w:sectPr>
          <w:pgSz w:w="11900" w:h="16838" w:orient="portrait"/>
          <w:cols w:equalWidth="0" w:num="1">
            <w:col w:w="11220"/>
          </w:cols>
          <w:pgMar w:left="340" w:top="1440" w:right="339" w:bottom="1440" w:gutter="0" w:footer="0" w:header="0"/>
        </w:sectPr>
      </w:pPr>
    </w:p>
    <w:bookmarkStart w:id="20" w:name="page21"/>
    <w:bookmarkEnd w:id="20"/>
    <w:p>
      <w:pPr>
        <w:spacing w:after="0" w:line="230" w:lineRule="exact"/>
        <w:rPr>
          <w:sz w:val="20"/>
          <w:szCs w:val="20"/>
          <w:color w:val="auto"/>
        </w:rPr>
      </w:pPr>
    </w:p>
    <w:p>
      <w:pPr>
        <w:jc w:val="both"/>
        <w:ind w:right="120"/>
        <w:spacing w:after="0" w:line="345" w:lineRule="auto"/>
        <w:rPr>
          <w:sz w:val="20"/>
          <w:szCs w:val="20"/>
          <w:color w:val="auto"/>
        </w:rPr>
      </w:pPr>
      <w:r>
        <w:rPr>
          <w:rFonts w:ascii="Times New Roman" w:cs="Times New Roman" w:eastAsia="Times New Roman" w:hAnsi="Times New Roman"/>
          <w:sz w:val="20"/>
          <w:szCs w:val="20"/>
          <w:color w:val="auto"/>
        </w:rPr>
        <w:t>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3" w:lineRule="exact"/>
        <w:rPr>
          <w:sz w:val="20"/>
          <w:szCs w:val="20"/>
          <w:color w:val="auto"/>
        </w:rPr>
      </w:pPr>
    </w:p>
    <w:p>
      <w:pPr>
        <w:ind w:right="260" w:firstLine="656"/>
        <w:spacing w:after="0" w:line="345" w:lineRule="auto"/>
        <w:tabs>
          <w:tab w:leader="none" w:pos="110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3" w:lineRule="exact"/>
        <w:rPr>
          <w:sz w:val="20"/>
          <w:szCs w:val="20"/>
          <w:color w:val="auto"/>
        </w:rPr>
      </w:pPr>
    </w:p>
    <w:p>
      <w:pPr>
        <w:ind w:right="20" w:firstLine="648"/>
        <w:spacing w:after="0" w:line="338"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Reacquired Shares</w:t>
      </w:r>
      <w:r>
        <w:rPr>
          <w:rFonts w:ascii="Times New Roman" w:cs="Times New Roman" w:eastAsia="Times New Roman" w:hAnsi="Times New Roman"/>
          <w:sz w:val="20"/>
          <w:szCs w:val="20"/>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Certificate of Incorporation, or in any other Certificate of Designations creating a series of Preferred Stock or any similar stock or as otherwise required by law.</w:t>
      </w:r>
    </w:p>
    <w:p>
      <w:pPr>
        <w:spacing w:after="0" w:line="1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u w:val="single" w:color="auto"/>
          <w:color w:val="auto"/>
        </w:rPr>
        <w:t>Liquidation, Dissolution or Winding Up</w:t>
      </w:r>
      <w:r>
        <w:rPr>
          <w:rFonts w:ascii="Times New Roman" w:cs="Times New Roman" w:eastAsia="Times New Roman" w:hAnsi="Times New Roman"/>
          <w:sz w:val="19"/>
          <w:szCs w:val="19"/>
          <w:color w:val="auto"/>
        </w:rPr>
        <w:t>.</w:t>
      </w:r>
    </w:p>
    <w:p>
      <w:pPr>
        <w:spacing w:after="0" w:line="297" w:lineRule="exact"/>
        <w:rPr>
          <w:sz w:val="20"/>
          <w:szCs w:val="20"/>
          <w:color w:val="auto"/>
        </w:rPr>
      </w:pPr>
    </w:p>
    <w:p>
      <w:pPr>
        <w:ind w:firstLine="656"/>
        <w:spacing w:after="0" w:line="336" w:lineRule="auto"/>
        <w:tabs>
          <w:tab w:leader="none" w:pos="112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spacing w:after="0" w:line="193" w:lineRule="exact"/>
        <w:rPr>
          <w:rFonts w:ascii="Times New Roman" w:cs="Times New Roman" w:eastAsia="Times New Roman" w:hAnsi="Times New Roman"/>
          <w:sz w:val="20"/>
          <w:szCs w:val="20"/>
          <w:color w:val="auto"/>
        </w:rPr>
      </w:pPr>
    </w:p>
    <w:p>
      <w:pPr>
        <w:ind w:right="180" w:firstLine="656"/>
        <w:spacing w:after="0" w:line="345" w:lineRule="auto"/>
        <w:tabs>
          <w:tab w:leader="none" w:pos="111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A-6</w:t>
      </w:r>
    </w:p>
    <w:p>
      <w:pPr>
        <w:sectPr>
          <w:pgSz w:w="11900" w:h="16838" w:orient="portrait"/>
          <w:cols w:equalWidth="0" w:num="1">
            <w:col w:w="11220"/>
          </w:cols>
          <w:pgMar w:left="320" w:top="1440" w:right="359" w:bottom="1440" w:gutter="0" w:footer="0" w:header="0"/>
        </w:sectPr>
      </w:pPr>
    </w:p>
    <w:bookmarkStart w:id="21" w:name="page22"/>
    <w:bookmarkEnd w:id="21"/>
    <w:p>
      <w:pPr>
        <w:spacing w:after="0" w:line="230" w:lineRule="exact"/>
        <w:rPr>
          <w:sz w:val="20"/>
          <w:szCs w:val="20"/>
          <w:color w:val="auto"/>
        </w:rPr>
      </w:pPr>
    </w:p>
    <w:p>
      <w:pPr>
        <w:ind w:firstLine="656"/>
        <w:spacing w:after="0" w:line="334" w:lineRule="auto"/>
        <w:tabs>
          <w:tab w:leader="none" w:pos="111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4" w:lineRule="exact"/>
        <w:rPr>
          <w:sz w:val="20"/>
          <w:szCs w:val="20"/>
          <w:color w:val="auto"/>
        </w:rPr>
      </w:pPr>
    </w:p>
    <w:p>
      <w:pPr>
        <w:ind w:firstLine="648"/>
        <w:spacing w:after="0" w:line="334"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Consolidation, Merger, etc</w:t>
      </w:r>
      <w:r>
        <w:rPr>
          <w:rFonts w:ascii="Times New Roman" w:cs="Times New Roman" w:eastAsia="Times New Roman" w:hAnsi="Times New Roman"/>
          <w:sz w:val="20"/>
          <w:szCs w:val="20"/>
          <w:color w:val="auto"/>
        </w:rPr>
        <w:t>.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5E5E61"/>
        </w:rPr>
        <w:t>A-7</w:t>
      </w:r>
    </w:p>
    <w:p>
      <w:pPr>
        <w:sectPr>
          <w:pgSz w:w="11900" w:h="16838" w:orient="portrait"/>
          <w:cols w:equalWidth="0" w:num="1">
            <w:col w:w="11180"/>
          </w:cols>
          <w:pgMar w:left="320" w:top="1440" w:right="399" w:bottom="1440" w:gutter="0" w:footer="0" w:header="0"/>
        </w:sectPr>
      </w:pPr>
    </w:p>
    <w:bookmarkStart w:id="22" w:name="page23"/>
    <w:bookmarkEnd w:id="22"/>
    <w:p>
      <w:pPr>
        <w:spacing w:after="0" w:line="230" w:lineRule="exact"/>
        <w:rPr>
          <w:sz w:val="20"/>
          <w:szCs w:val="20"/>
          <w:color w:val="auto"/>
        </w:rPr>
      </w:pPr>
    </w:p>
    <w:p>
      <w:pPr>
        <w:spacing w:after="0" w:line="338" w:lineRule="auto"/>
        <w:rPr>
          <w:sz w:val="20"/>
          <w:szCs w:val="20"/>
          <w:color w:val="auto"/>
        </w:rPr>
      </w:pPr>
      <w:r>
        <w:rPr>
          <w:rFonts w:ascii="Times New Roman" w:cs="Times New Roman" w:eastAsia="Times New Roman" w:hAnsi="Times New Roman"/>
          <w:sz w:val="20"/>
          <w:szCs w:val="20"/>
          <w:color w:val="auto"/>
        </w:rPr>
        <w:t>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19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 xml:space="preserve">No Redemption. </w:t>
      </w:r>
      <w:r>
        <w:rPr>
          <w:rFonts w:ascii="Times New Roman" w:cs="Times New Roman" w:eastAsia="Times New Roman" w:hAnsi="Times New Roman"/>
          <w:sz w:val="19"/>
          <w:szCs w:val="19"/>
          <w:color w:val="auto"/>
        </w:rPr>
        <w:t>The shares of Series A Preferred Stock shall not be redeemable.</w:t>
      </w:r>
    </w:p>
    <w:p>
      <w:pPr>
        <w:spacing w:after="0" w:line="297" w:lineRule="exact"/>
        <w:rPr>
          <w:sz w:val="20"/>
          <w:szCs w:val="20"/>
          <w:color w:val="auto"/>
        </w:rPr>
      </w:pPr>
    </w:p>
    <w:p>
      <w:pPr>
        <w:jc w:val="both"/>
        <w:ind w:right="220" w:firstLine="648"/>
        <w:spacing w:after="0" w:line="345"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Rank</w:t>
      </w:r>
      <w:r>
        <w:rPr>
          <w:rFonts w:ascii="Times New Roman" w:cs="Times New Roman" w:eastAsia="Times New Roman" w:hAnsi="Times New Roman"/>
          <w:sz w:val="20"/>
          <w:szCs w:val="20"/>
          <w:color w:val="auto"/>
        </w:rPr>
        <w:t>.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spacing w:after="0" w:line="183" w:lineRule="exact"/>
        <w:rPr>
          <w:sz w:val="20"/>
          <w:szCs w:val="20"/>
          <w:color w:val="auto"/>
        </w:rPr>
      </w:pPr>
    </w:p>
    <w:p>
      <w:pPr>
        <w:ind w:right="180" w:firstLine="648"/>
        <w:spacing w:after="0" w:line="343"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At such time as any shares of Series A Preferred Stock are outstanding, the Certificate of Incorporation,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184" w:lineRule="exact"/>
        <w:rPr>
          <w:sz w:val="20"/>
          <w:szCs w:val="20"/>
          <w:color w:val="auto"/>
        </w:rPr>
      </w:pPr>
    </w:p>
    <w:p>
      <w:pPr>
        <w:ind w:right="180" w:firstLine="648"/>
        <w:spacing w:after="0" w:line="345"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A-8</w:t>
      </w:r>
    </w:p>
    <w:p>
      <w:pPr>
        <w:sectPr>
          <w:pgSz w:w="11900" w:h="16838" w:orient="portrait"/>
          <w:cols w:equalWidth="0" w:num="1">
            <w:col w:w="11220"/>
          </w:cols>
          <w:pgMar w:left="320" w:top="1440" w:right="35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5E5E61"/>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AKAMAI TECHNOLOGIES,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as of May 13, 2026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ARTICLE 1 - Stockholders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Place of Meetings</w:t>
      </w:r>
      <w:r>
        <w:rPr>
          <w:rFonts w:ascii="Times New Roman" w:cs="Times New Roman" w:eastAsia="Times New Roman" w:hAnsi="Times New Roman"/>
          <w:sz w:val="20"/>
          <w:szCs w:val="20"/>
          <w:color w:val="auto"/>
        </w:rPr>
        <w:t>. All meetings of stockholders shall be held at such place within or without the State of Delaware as may be designated from time to time by the Board of Directors, the Chair of the Board or the Chief Executive Officer or, if not so designated, at the registered office of the corporation. The Board of Directors may, in its sole discretion, determine that a meeting shall, in addition to or instead of a physical meeting, be held by means of remote communication (including virtually) as provided under the General Corporation Law of the State of Delaware.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Annual Meeting</w:t>
      </w:r>
      <w:r>
        <w:rPr>
          <w:rFonts w:ascii="Times New Roman" w:cs="Times New Roman" w:eastAsia="Times New Roman" w:hAnsi="Times New Roman"/>
          <w:sz w:val="20"/>
          <w:szCs w:val="20"/>
          <w:color w:val="auto"/>
        </w:rPr>
        <w:t>. The annual meeting of stockholders for the election of directors and for the transaction of such other business as may properly be brought before the meeting shall be held on a date to be fixed by the Board of Directors, the Chair of the Board or the Chief Executive Officer at the time and place to be fixed by the Board of Directors, the Chair of the Board or the Chief Executive Officer and stated in the notice of the meeting. The corporation may postpone, reschedule or cancel any previously scheduled annual meeting of stockholders.</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0" w:lineRule="auto"/>
        <w:tabs>
          <w:tab w:leader="none" w:pos="182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meetings of stockholders (i) may be called at any time by the Chair of the Board of Directors, the Chief Executive Officer or the Board of Directors or (ii) shall be called by the Secretary upon the written request of a stockholders or beneficial owners (or a group of stockholders or beneficial owners formed for the purpose of making such request) who or which has Net Beneficial Ownership (as defined below) of 25% or more of the votes (the “Required Percent”) of the issued and outstanding shares of capital stock of the corporation entitled to vote (the “Voting Stock”) as of the record date for the request to call a special meeting and date of submission of the request and who have delivered such request in accordance with and subject to the procedures and conditions and other provisions set forth this Section 1.3 and related provisions in these By-Laws (as amended from time to time). Business transacted at any special meeting of stockholders shall be limited to matters relating to the purpose or purposes stated in the notice of meeting. The corporation may postpone, reschedule or cancel any special meeting of stockholders previously scheduled at any time, before or after notice of such meeting has been sent to the stockholders of the corporation.</w:t>
      </w:r>
    </w:p>
    <w:p>
      <w:pPr>
        <w:spacing w:after="0" w:line="196" w:lineRule="exact"/>
        <w:rPr>
          <w:rFonts w:ascii="Times New Roman" w:cs="Times New Roman" w:eastAsia="Times New Roman" w:hAnsi="Times New Roman"/>
          <w:sz w:val="20"/>
          <w:szCs w:val="20"/>
          <w:color w:val="auto"/>
        </w:rPr>
      </w:pPr>
    </w:p>
    <w:p>
      <w:pPr>
        <w:ind w:firstLine="1304"/>
        <w:spacing w:after="0" w:line="310" w:lineRule="auto"/>
        <w:tabs>
          <w:tab w:leader="none" w:pos="1783"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Beneficial Ownership” (and its accompanying terms), when used to describe the ownership of capital stock of the corporation, shall be determined in a manner consistent with the ownership requirements set forth in Section 1.13(d)(i), mutatis mutandis.</w:t>
      </w:r>
    </w:p>
    <w:p>
      <w:pPr>
        <w:spacing w:after="0" w:line="124" w:lineRule="exact"/>
        <w:rPr>
          <w:rFonts w:ascii="Times New Roman" w:cs="Times New Roman" w:eastAsia="Times New Roman" w:hAnsi="Times New Roman"/>
          <w:sz w:val="19"/>
          <w:szCs w:val="19"/>
          <w:color w:val="auto"/>
        </w:rPr>
      </w:pPr>
    </w:p>
    <w:p>
      <w:pPr>
        <w:jc w:val="both"/>
        <w:ind w:firstLine="1304"/>
        <w:spacing w:after="0" w:line="258" w:lineRule="auto"/>
        <w:tabs>
          <w:tab w:leader="none" w:pos="176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or beneficial owner may not submit a written request to call a special meeting unless such stockholder is a holder of record of Voting Stock or the beneficial owners on the record date fixed to determine the stockholders or beneficial owners entitled to request the call of a special meeting. Any stockholder or beneficial owner seeking to call a special meeting shall, by written notice to the Secretary, request the Board of Directors fix a record date for stockholders or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1</w:t>
      </w:r>
    </w:p>
    <w:p>
      <w:pPr>
        <w:sectPr>
          <w:pgSz w:w="11900" w:h="16838" w:orient="portrait"/>
          <w:cols w:equalWidth="0" w:num="1">
            <w:col w:w="11240"/>
          </w:cols>
          <w:pgMar w:left="320" w:top="140" w:right="339" w:bottom="1440" w:gutter="0" w:footer="0" w:header="0"/>
        </w:sectPr>
      </w:pPr>
    </w:p>
    <w:bookmarkStart w:id="24" w:name="page25"/>
    <w:bookmarkEnd w:id="24"/>
    <w:p>
      <w:pPr>
        <w:jc w:val="both"/>
        <w:spacing w:after="0" w:line="251" w:lineRule="auto"/>
        <w:rPr>
          <w:sz w:val="20"/>
          <w:szCs w:val="20"/>
          <w:color w:val="auto"/>
        </w:rPr>
      </w:pPr>
      <w:r>
        <w:rPr>
          <w:rFonts w:ascii="Times New Roman" w:cs="Times New Roman" w:eastAsia="Times New Roman" w:hAnsi="Times New Roman"/>
          <w:sz w:val="20"/>
          <w:szCs w:val="20"/>
          <w:color w:val="auto"/>
        </w:rPr>
        <w:t>owners entitled to request the call of the special meeting. A written request to fix such a record date shall include all of the information that must be included in a written request to call a special meeting from a stockholder or beneficial owner, as set forth in paragraph (d) of this Section. The Board of Directors may, within ten (10) days of the Secretary’s receipt of a written request to fix a record date containing all the information required by or pursuant to these By-Laws, fix a record date to determine the stockholders or beneficial owners entitled to request the call of a special meeting, which date shall not precede, and shall not be more than ten (10) days after, the date upon which the resolution fixing the record date is adopted. If a record date is not so fixed by the Board of Directors, the record date shall be the date that the first written request to call a special meeting containing all the information required by or pursuant to this paragraph is received by the Secretary with respect to the proposed business to be conducted at a special meeting.</w:t>
      </w:r>
    </w:p>
    <w:p>
      <w:pPr>
        <w:spacing w:after="0" w:line="195" w:lineRule="exact"/>
        <w:rPr>
          <w:sz w:val="20"/>
          <w:szCs w:val="20"/>
          <w:color w:val="auto"/>
        </w:rPr>
      </w:pPr>
    </w:p>
    <w:p>
      <w:pPr>
        <w:jc w:val="both"/>
        <w:ind w:firstLine="1304"/>
        <w:spacing w:after="0" w:line="249" w:lineRule="auto"/>
        <w:tabs>
          <w:tab w:leader="none" w:pos="181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request for a special meeting by one or more stockholders or beneficial owners (a “Stockholder Requested Special Meeting”) shall be signed by each of the Net Beneficial Owners of the Required Percent of the corporation’s capital stock (or their duly authorized agents) and be delivered to the Secretary at the principal executive offices of the corporation by registered mail, return receipt requested. Such request shall set forth: (A) a statement of the specific purpose or purposes of the meeting and the matters proposed to be acted on at such Stockholder Requested Special Meeting, the reasons for conducting such business at the Stockholder Requested Special Meeting, and any material interest in such business of the stockholders or beneficial owners requesting the Stockholder Requested Special Meeting; (B) the date of signature of each stockholder or beneficial owner (or duly authorized agent) signing the request; (C) (w) the name and address, as they appear in the corporation’s books, of each stockholder signing such request (or if such stockholder of record is a nominee or custodian) or beneficial owner on whose behalf such requests is signed, (x) an affidavit by each such person stating the number of shares of capital stock of the corporation as to which such stockholder or beneficial owner has Net Beneficial Ownership, (y) evidence of the fact and duration of such stockholder’s or beneficial owner’s beneficial ownership of such stock consistent with that which is required under Regulation 14A under the Securities Exchange Act of 1934, as amended (the “Exchange Act”) and (z) a certification from each such stockholder or beneficial owner that the stockholders or beneficial owners signing the request in the aggregate satisfy the Net Beneficial Ownership requirement of these By-Laws; (D) all information relating to each such stockholder or beneficial owner that must be disclosed in solicitations of proxies for election of directors in an election contest (even if an election contest is not involved), or is otherwise required, in each case, pursuant to Regulation 14A under the Exchange Act; (E) the additional information required under Section 1.10(c)(ii)(A) to (K), as applicable, of these By-Laws with respect to such stockholder or beneficial owner; and (G) an acknowledgment by each stockholder or beneficial owner and any duly authorized agent that (i) any disposition of shares of capital stock of the corporation as to which such stockholder has Net Beneficial Ownership as of the date of delivery of the special meeting request and prior to the record date for the proposed Stockholder Requested Special Meeting requested by such stockholder shall constitute a revocation of such request with respect to such shares and (ii) if such stockholder or beneficial owner or a duly authorized representative of such stockholder or beneficial owner does not appear or designate a representative to appear at the Stockholder Requested Meeting to present business, the proposed business will not be transacted notwithstanding that the proxies in respect of the vote might have already been received.</w:t>
      </w:r>
    </w:p>
    <w:p>
      <w:pPr>
        <w:spacing w:after="0" w:line="18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1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or beneficial owner providing a written request for a special meeting shall further update and supplement the information contained in such request, if necessary or requested by the corporation, so that the information provided or required to be provided in such request shall be true and correct as of the record date for the meeting and as of the date that is ten (10) business days prior to the meeting or any adjournment or postponement thereof, and such update and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w:t>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shall be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if practicable, any postponement or adjournment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no such update and supplement shall cure or affect the accuracy (or inaccuracy) of any representations made by any party or the validity (or invalidity) of any proposal that failed to comply with this Section 1.3, or is rendered invalid as a result of any inaccuracy therein).</w:t>
      </w:r>
    </w:p>
    <w:p>
      <w:pPr>
        <w:spacing w:after="0" w:line="162" w:lineRule="exact"/>
        <w:rPr>
          <w:sz w:val="20"/>
          <w:szCs w:val="20"/>
          <w:color w:val="auto"/>
        </w:rPr>
      </w:pPr>
    </w:p>
    <w:p>
      <w:pPr>
        <w:jc w:val="both"/>
        <w:ind w:firstLine="1304"/>
        <w:spacing w:after="0" w:line="257" w:lineRule="auto"/>
        <w:tabs>
          <w:tab w:leader="none" w:pos="179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requesting stockholder or beneficial owner may revoke a request to call a special meeting by written revocation received by the Secretary at the principal executive offices of the corporation, at any time prior to the special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as a result of such revocation(s), there are no longer are unrevoked requests from the Net Beneficial Owners of the Required Percent to call a special meeting, the Board of Directors, in its discretion, may determine whether or not to proceed with the Stockholder Requested Special Meeting, including whether to cancel the Stockholder Requested Special Meeting.</w:t>
      </w:r>
    </w:p>
    <w:p>
      <w:pPr>
        <w:spacing w:after="0" w:line="172" w:lineRule="exact"/>
        <w:rPr>
          <w:rFonts w:ascii="Times New Roman" w:cs="Times New Roman" w:eastAsia="Times New Roman" w:hAnsi="Times New Roman"/>
          <w:sz w:val="20"/>
          <w:szCs w:val="20"/>
          <w:color w:val="auto"/>
        </w:rPr>
      </w:pPr>
    </w:p>
    <w:p>
      <w:pPr>
        <w:jc w:val="both"/>
        <w:ind w:firstLine="1304"/>
        <w:spacing w:after="0" w:line="263" w:lineRule="auto"/>
        <w:tabs>
          <w:tab w:leader="none" w:pos="1787"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special meeting request shall not be valid, and the corporation shall not call a special meeting of stockholders if (A) the special meeting request does not comply with these By-Laws; (B) the Board of Directors or the Chair of the Board of Directors has called or calls an annual or special meeting of stockholders to be held not later than 90 days after the date on which a request from the Required Percent has been delivered to the Secretary (the “Delivery Date”); (C) the request from the Required Percent is delivered during the period commencing ninety (90) days prior to the first anniversary of the date of the immediately preceding annual meeting and ending on the date of the next annual meeting; (D) the request contains an identical or substantially similar item (a “Similar Item”) to an item that was presented at any meeting of stockholders held within one hundred twenty (120) days prior to the Delivery Date (and, for purposes of this clause (D) the election of directors shall be deemed a “Similar Item” with respect to all items of business involving the election or removal of directors); (E) the request relates to an item of business that is not a proper subject for action by the stockholders of the corporation under applicable law or</w:t>
      </w:r>
    </w:p>
    <w:p>
      <w:pPr>
        <w:ind w:left="300" w:hanging="292"/>
        <w:spacing w:after="0"/>
        <w:tabs>
          <w:tab w:leader="none" w:pos="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request was made in a manner that involved a violation of Regulation 14A under the Exchange Act or other applicable law.</w:t>
      </w:r>
    </w:p>
    <w:p>
      <w:pPr>
        <w:spacing w:after="0" w:line="20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73"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shall determine the date, time and place, if any, of any Stockholder Requested Special Meeting. The date of any Stockholder Requested Special Meeting shall be no more than sixty (60) days after the record date for such meeting (the “Meeting Record Date”), which shall be fixed in accordance with these By-Laws and Section 213 of the General Corporation Law of the State of Delaware.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the special meeting and any plan of the Board of Directors to call an annual meeting or a special meeting.</w:t>
      </w:r>
    </w:p>
    <w:p>
      <w:pPr>
        <w:spacing w:after="0" w:line="17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transacted at a Stockholder Requested Special Meeting shall be limited to the purpose(s) stated in the valid special meeting request received from the Required Percent of Voting Stock, and any additional business that the Board of Directors determines to include in the corporation’s notice of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nothing herein shall prohibit the corporation from submitting matters to a vote of the stockholders at any Stockholder Requested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3</w:t>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1304"/>
        <w:spacing w:after="0" w:line="258" w:lineRule="auto"/>
        <w:tabs>
          <w:tab w:leader="none" w:pos="17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quorum is not present at any Stockholder Requested Special Meeting, any officer entitled to preside at or to act as Secretary of the Stockholder Requested Special Meeting, the Chair of the Board, the Board of Directors, and the corporation, shall have no obligation to postpone or adjourn such Stockholder Requested Special Meeting; and each of the same shall have fulfilled their respective obligations under this Section 1.3 with respect to such Stockholder Requested Special Meeting.</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Except as otherwise provided by law, the Certificate of Incorporation or these By-Laws, notice of each meeting of stockholders, whether annual or special, shall be given not less than ten nor more than 60 days before the date of the meeting to each stockholder entitled to vote at such meeting. Without limiting the manner by which notice otherwise may be given to stockholders, any notice shall be effective if given by a form of electronic transmission consented to (in a manner consistent with the General Corporation Law of the State of Delaware) by the stockholder to whom the notice is given. The notices of all meetings shall state the place, if any, date and hour of the meeting and the means of remote communications, if any, by which stockholders and proxy holders may be deemed to be present in person and vote at such meeting. The notice of a special meeting shall state, in addition, the purpose or purposes for which the meeting is called. If mailed, notice is given when deposited in the United States mail, postage prepaid, directed to the stockholder at the stockholder’s address as it appears on the records of the corporation. If notice is given by electronic transmission, such notice shall be deemed given at the time specified in Section 232 of the General Corporation Law of the State of Delaware.</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Voting List.</w:t>
      </w:r>
      <w:r>
        <w:rPr>
          <w:rFonts w:ascii="Times New Roman" w:cs="Times New Roman" w:eastAsia="Times New Roman" w:hAnsi="Times New Roman"/>
          <w:sz w:val="20"/>
          <w:szCs w:val="20"/>
          <w:color w:val="auto"/>
        </w:rPr>
        <w:t xml:space="preserve"> The officer who has charge of the stock ledger of the corporation shall prepare,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meeting or (b) during ordinary business hours at the principal place of business of the corporation. Except as otherwise provided by law, the stock ledger shall be the only evidence as to who are the stockholders entitled to examine the list of stockholders required by this Section 1.5 or to vote in person or by proxy at any meeting of stockholders.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Except as otherwise provided by law, the Certificate of Incorporation or these By-Laws, the holders of a majority in voting power of the shares of the capital stock of the corporation issued and outstanding and entitled to vote at the meeting, present in person or represented by proxy, shall constitute a quorum for the transaction of business.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Adjournments</w:t>
      </w:r>
      <w:r>
        <w:rPr>
          <w:rFonts w:ascii="Times New Roman" w:cs="Times New Roman" w:eastAsia="Times New Roman" w:hAnsi="Times New Roman"/>
          <w:sz w:val="20"/>
          <w:szCs w:val="20"/>
          <w:color w:val="auto"/>
        </w:rPr>
        <w:t>. Any meeting of stockholders may be adjourned (including due to a technical failure to convene or continue the meeting by remote communication) to any other time and to any other place at which a meeting of stockholders may be held under these By-Laws by the stockholders present or represented at the meeting and entitled to vote, although less than a quorum, or, if no stockholder is present, by any officer entitled to preside at or to act as Secretary of such meeting. It shall not be necessary to notify any stockholder of any adjournment of less than 30 days if the time, the place, if any, and the means of remote communications, if any, by which stockholders may be deemed to be present in person and vote at such adjourned meeting are (a) announced at the meeting at which the adjournment is taken,</w:t>
      </w:r>
    </w:p>
    <w:p>
      <w:pPr>
        <w:spacing w:after="0" w:line="2" w:lineRule="exact"/>
        <w:rPr>
          <w:sz w:val="20"/>
          <w:szCs w:val="20"/>
          <w:color w:val="auto"/>
        </w:rPr>
      </w:pPr>
    </w:p>
    <w:p>
      <w:pPr>
        <w:jc w:val="both"/>
        <w:ind w:firstLine="8"/>
        <w:spacing w:after="0" w:line="256" w:lineRule="auto"/>
        <w:tabs>
          <w:tab w:leader="none" w:pos="29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meeting conducted by means of remote communications, displayed, during the time scheduled for the meeting, on the same electronic network used to enable stockholders to participate in the meeting by means of remote communication or (c) set forth in the notice of meeting; unless after the adjournment a new record date is fixed for the adjourned meeting.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4</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color w:val="auto"/>
        </w:rPr>
        <w:t>adjourned meeting, the corporation may transact any business which might have been transacted at the original meeting.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Voting and Proxies</w:t>
      </w:r>
      <w:r>
        <w:rPr>
          <w:rFonts w:ascii="Times New Roman" w:cs="Times New Roman" w:eastAsia="Times New Roman" w:hAnsi="Times New Roman"/>
          <w:sz w:val="20"/>
          <w:szCs w:val="20"/>
          <w:color w:val="auto"/>
        </w:rPr>
        <w:t>. Each stockholder shall have one vote for each share of stock entitled to vote held of record by such stockholder and a proportionate vote for each fractional share so held, unless otherwise provided by law or the Certificate of Incorporation. Each stockholder of record entitled to vote at a meeting of stockholders may vote in person or may authorize another person or persons to vote or act for such stockholder by proxy executed in writing (or in such other manner permitted by the General Corporation Law of the State of Delaware) by the stockholder or such stockholder’s authorized agent and delivered to the Secretary of the corporation. No such proxy shall be voted or acted upon after three years from the date of its execution unless the proxy expressly provides for a longer period.</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Action at Meeting</w:t>
      </w:r>
      <w:r>
        <w:rPr>
          <w:rFonts w:ascii="Times New Roman" w:cs="Times New Roman" w:eastAsia="Times New Roman" w:hAnsi="Times New Roman"/>
          <w:sz w:val="20"/>
          <w:szCs w:val="20"/>
          <w:color w:val="auto"/>
        </w:rPr>
        <w:t>. When a quorum is present at any meeting, the holders of a majority in voting power of the stock present or represented and voting on a matter (or if there are two or more classes or series of stock entitled to vote as separate classes, then in the case of each such class, the holders of a majority in voting power of the stock of that class present or represented and voting on a matter) shall decide any matter to be voted upon by the stockholders at such meeting, except when a different vote is required by express provision of law, the Certificate of Incorporation or these By-Laws. When a quorum is present at any meeting, for the election of directors, a nominee for director shall be elected by the stockholders at such meeting if the votes cast “for” such nominee’s election exceed the votes cast “against” such nominee’s election (with “abstentions” and “broker non-votes” votes not counted as a vote either “for” or “against” that director’s election); provided, that directors shall be elected by a plurality of the votes cast when a quorum is present at any meeting of stockholders for which (a) the Secretary of the corporation receives a notice that a stockholder has nominated a person for election to the Board of Directors in compliance with the advance notice requirements for stockholder nominees for director set forth in Section 1.10 of these By-Laws and (b) such nomination has not been withdrawn by such stockholder on or before the tenth business day before the corporation first mails its notice of meeting to the stockholders.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Nomination of Directors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2" w:lineRule="auto"/>
        <w:tabs>
          <w:tab w:leader="none" w:pos="185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(i) any directors entitled to be elected by the holders of preferred stock, (ii) any directors elected in accordance with Section 2.4 hereof by the Board of Directors to fill a vacancy or newly-created directorship or (iii) as otherwise required by applicable law or stock exchange regulation, at any meeting of stockholders, only persons who are nominated in accordance with the procedures of this Section 1.10 or Section 1.13 shall be eligible for election as directors. Nomination for election to the Board of Directors of the corporation at a meeting of stockholders may be made (i) by or at the direction of the Board of Directors, (ii) by any stockholder of the corporation who (A) timely complies with the notice procedures set forth in Section 1.10(b), (B) is a stockholder of record on the date of the giving of such notice and on the record date for the determination of stockholders entitled to vote at such meeting and (C) is entitled to vote at such meeting, or (iii) by any Eligible Stockholder (as defined in Section 1.13(a)(i)) who has complied with the procedures set forth in Section 1.13.</w:t>
      </w:r>
    </w:p>
    <w:p>
      <w:pPr>
        <w:spacing w:after="0" w:line="175"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2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timely, a stockholder’s notice must be received in writing by the Secretary at the principal executive offices of the corporation as follows: (i) in the case of an election of directors at an annual meeting of stockholders, not less than 90 days nor more than 120 days prior to the first anniversary of the preceding year’s annual meeting; provided, however, that in the event that the date of the annual meeting is advanced by more than 20 days, or delayed by more than 70 days, from the first anniversary of the preceding year’s annual meeting, a stockholder’s notice must be so received not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5</w:t>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50" w:lineRule="auto"/>
        <w:rPr>
          <w:sz w:val="20"/>
          <w:szCs w:val="20"/>
          <w:color w:val="auto"/>
        </w:rPr>
      </w:pPr>
      <w:r>
        <w:rPr>
          <w:rFonts w:ascii="Times New Roman" w:cs="Times New Roman" w:eastAsia="Times New Roman" w:hAnsi="Times New Roman"/>
          <w:sz w:val="20"/>
          <w:szCs w:val="20"/>
          <w:color w:val="auto"/>
        </w:rPr>
        <w:t>than the close of business on the later of (A) the 90th day prior to such annual meeting and (B) the tenth day following the day on which notice of the date of such annual meeting was mailed or public disclosure of the date of such annual meeting was made, whichever first occurs; or (ii) in the case of an election of directors at a special meeting of stockholders, provided that the Board of Directors, the Chair of the Board or the Chief Executive Officer has determined, in accordance with Section 1.3, that directors shall be elected at such special meeting and provided further that the nomination made by the stockholder is for one of the director positions that the Board of Directors, the Chair of the Board or the Chief Executive Officer, as the case may be, has determined will be filled at such special meeting, not earlier than the 120th day prior to such special meeting and not later than the close of business on the later of (A) the 90th day prior to such special meeting and (B) the tenth day following the day on which notice of the date of such special meeting was mailed or public disclosure of the date of such special meeting was made, whichever first occurs. In no event shall the adjournment or postponement of a meeting (or the public disclosure thereof) commence a new time period (or extend any time period) for the giving of a stockholder’s notice.</w:t>
      </w:r>
    </w:p>
    <w:p>
      <w:pPr>
        <w:spacing w:after="0" w:line="196" w:lineRule="exact"/>
        <w:rPr>
          <w:sz w:val="20"/>
          <w:szCs w:val="20"/>
          <w:color w:val="auto"/>
        </w:rPr>
      </w:pPr>
    </w:p>
    <w:p>
      <w:pPr>
        <w:ind w:left="1720" w:hanging="416"/>
        <w:spacing w:after="0"/>
        <w:tabs>
          <w:tab w:leader="none" w:pos="172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notice to the Secretary shall set forth:</w:t>
      </w:r>
    </w:p>
    <w:p>
      <w:pPr>
        <w:spacing w:after="0" w:line="229" w:lineRule="exact"/>
        <w:rPr>
          <w:rFonts w:ascii="Times New Roman" w:cs="Times New Roman" w:eastAsia="Times New Roman" w:hAnsi="Times New Roman"/>
          <w:sz w:val="20"/>
          <w:szCs w:val="20"/>
          <w:color w:val="auto"/>
        </w:rPr>
      </w:pPr>
    </w:p>
    <w:p>
      <w:pPr>
        <w:jc w:val="both"/>
        <w:ind w:firstLine="1952"/>
        <w:spacing w:after="0" w:line="262" w:lineRule="auto"/>
        <w:tabs>
          <w:tab w:leader="none" w:pos="2338" w:val="left"/>
        </w:tabs>
        <w:numPr>
          <w:ilvl w:val="2"/>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person whom the stockholder proposes to nominate for election as a director (a “nominee”): (A) such nominee’s name, age, business address and, if known, residence address and all information relating to such person that is required to be disclosed in solicitations of proxies for election of directors in an election contest, or is otherwise required, in each case pursuant to Section 14 of the Exchange Act, and the rules and regulations promulgated thereunder; (B) such nominee’s written consent to being named in a proxy statement as a nominee and to serve as a director if elected; (C) a description of all agreements, arrangements or understandings between the stockholder or any beneficial owner on whose behalf such nomination is made, or their respective affiliates and associates, and each nominee or any other person or persons (naming such person or persons) in connection with the making of such nomination or nominations; (D) a representation and agreement that such nominee is not and will not become party to (1) any agreement, arrangement or understanding with, and has not given any commitment or assurance to, any person or entity as to how such nominee, if elected as a director of the corporation, will act, in his or her capacity as a director of the corporation, or vote on any issue or question in his or her capacity as a director of the corporation (a “Voting Commitment”) that has not been disclosed to the corporation, (2) any Voting Commitment that could limit or interfere with the nominee’s ability to comply, if elected as a director of the corporation, with such person’s fiduciary duties under applicable law or</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29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arrangement or understanding with any person or entity other than the corporation with respect to any direct or indirect compensation, reimbursement or indemnification in connection with service or action as a director that has not been disclosed to the corporation; (E) a representation made in such person’s individual capacity that such nominee would be in compliance and, if elected as a director of the corporation, will comply with all applicable publicly disclosed corporate governance, ethics, conflict of interest, confidentiality and stock ownership and trading policies and guidelines of the corporation, including codes of conduct; (F) a representation that the nominee, if elected as a director of the corporation, intends to serve the full term as a director; (G) the information referenced in clauses (C) through (I) of Section 1.10(c)(ii) with references to the stockholder and beneficial owner replaced with references to the nominee; and (H) a completed and signed questionnaire, representation and agreement for the nominee referenced in Section 1.10(f) and a signed certification of the statements (to the extent relating to such nominee) set forth in Section 1.10(d) of the By-Laws;</w:t>
      </w:r>
    </w:p>
    <w:p>
      <w:pPr>
        <w:spacing w:after="0" w:line="194"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each stockholder giving notice and the beneficial owner, if any, on whose behalf the nomination is made:</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the name and address of such stockholder, as they appear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6</w:t>
      </w:r>
    </w:p>
    <w:p>
      <w:pPr>
        <w:sectPr>
          <w:pgSz w:w="11900" w:h="16838" w:orient="portrait"/>
          <w:cols w:equalWidth="0" w:num="1">
            <w:col w:w="11240"/>
          </w:cols>
          <w:pgMar w:left="320" w:top="1413" w:right="339" w:bottom="1440" w:gutter="0" w:footer="0" w:header="0"/>
        </w:sectPr>
      </w:pPr>
    </w:p>
    <w:bookmarkStart w:id="29" w:name="page30"/>
    <w:bookmarkEnd w:id="29"/>
    <w:p>
      <w:pPr>
        <w:jc w:val="both"/>
        <w:spacing w:after="0" w:line="262" w:lineRule="auto"/>
        <w:rPr>
          <w:sz w:val="20"/>
          <w:szCs w:val="20"/>
          <w:color w:val="auto"/>
        </w:rPr>
      </w:pPr>
      <w:r>
        <w:rPr>
          <w:rFonts w:ascii="Times New Roman" w:cs="Times New Roman" w:eastAsia="Times New Roman" w:hAnsi="Times New Roman"/>
          <w:sz w:val="19"/>
          <w:szCs w:val="19"/>
          <w:color w:val="auto"/>
        </w:rPr>
        <w:t>the corporation’s books, and of such beneficial owner; (B) the class and series and number of shares of stock of the corporation which are directly or indirectly owned, beneficially or of record, by such person(s) and their respective affiliates and associates as of the date of such notice (including any shares of any class or series of the corporation as to which such person has a right to acquire beneficial ownership, whether such right is exercisable immediately or only after the passage of time); (C) a description of the class or series, if any, and number of options, warrants, puts, calls, convertible securities, stock appreciation rights, or similar rights, obligations or commitments with an exercise or conversion privilege or a settlement payment or mechanism at a price related to any class or series of shares or other securities of the corporation or with a value derived in whole or in part from the value of any class or series of shares or other securities of the corporation, whether or not such instrument, right, obligation or commitment shall be subject to settlement in the underlying class or series of shares or other securities of the corporation (each a “Derivative Security”), which are, directly or indirectly, beneficially owned by such stockholder or beneficial owner or owners and their respective affiliates and associates, if any, and any other direct or indirect opportunity to profit or share in any profit derived from any increase or decrease in the value of shares or other securities of the corporation; (D) a description of the terms of any number of shares subject to any short interest in any securities of the corporation in which the stockholder or beneficial owner or any of their respective affiliates and associates has an interest (for purposes of these By-Laws a person shall be deemed to have a short interest in a security if such stockholder or beneficial owner, directly or indirectly, through any proxy, contract, arrangement, understanding, relationship or otherwise, has the opportunity to profit or share in any profit derived from any decrease in the value of the subject security);</w:t>
      </w:r>
    </w:p>
    <w:p>
      <w:pPr>
        <w:spacing w:after="0" w:line="2" w:lineRule="exact"/>
        <w:rPr>
          <w:sz w:val="20"/>
          <w:szCs w:val="20"/>
          <w:color w:val="auto"/>
        </w:rPr>
      </w:pPr>
    </w:p>
    <w:p>
      <w:pPr>
        <w:jc w:val="both"/>
        <w:ind w:firstLine="8"/>
        <w:spacing w:after="0" w:line="260" w:lineRule="auto"/>
        <w:tabs>
          <w:tab w:leader="none" w:pos="31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rights to dividends on the shares of the corporation owned beneficially by such stockholder and such beneficial owner, and any of their respective affiliates and associates, if any, that are separated or separable from the underlying shares of the corporation; (F) a description of any proportionate interest in shares or other securities of the corporation or Derivative Securities held, directly or indirectly, by a general or limited partnership, limited liability company or similar entity in which any such stockholder is (1) a general partner or, directly or indirectly, beneficially owns an interest in a general partner of such general or limited partnership, or (2) the manager, managing member or, directly or indirectly, beneficially owns an interest in the manager or managing member of such limited liability company or similar entity;</w:t>
      </w:r>
    </w:p>
    <w:p>
      <w:pPr>
        <w:spacing w:after="0" w:line="4" w:lineRule="exact"/>
        <w:rPr>
          <w:rFonts w:ascii="Times New Roman" w:cs="Times New Roman" w:eastAsia="Times New Roman" w:hAnsi="Times New Roman"/>
          <w:sz w:val="19"/>
          <w:szCs w:val="19"/>
          <w:color w:val="auto"/>
        </w:rPr>
      </w:pPr>
    </w:p>
    <w:p>
      <w:pPr>
        <w:jc w:val="both"/>
        <w:ind w:firstLine="8"/>
        <w:spacing w:after="0" w:line="248" w:lineRule="auto"/>
        <w:tabs>
          <w:tab w:leader="none" w:pos="32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proxy, contract, agreement, arrangement, understanding or relationship including any repurchase or similar so called “stock borrowing” agreement or arrangement, the purpose or effect of which is to mitigate loss, reduce economic risk or increase or decrease voting power with respect to any capital stock of the corporation; (H) a description of any material pending or threatened legal proceeding involving the corporation, or any of its respective directors or officers, to which such stockholder, beneficial owner or any of their respective affiliates and associates is a party; (I) a description of any performance-related fees (other than an asset-based fee) to which the stockholder, beneficial owner or any of their respective affiliates and associates may be entitled as a result of any increase or decrease in the value of shares of the corporation or Derivative Securities; (J) a description of all direct and indirect compensation and other material monetary agreements, arrangements and understandings during the past three years, and any other material relationships, between or among (1) the stockholder, the beneficial owner, on whose behalf the nomination is being made and the respective affiliates and associates of, or others acting in concert with, such stockholder and such beneficial owner, on the one hand, and (2)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(K) any other information relating to such stockholder and beneficial owner, as a nominating stockholder or beneficial owner, that is required to be disclosed in solicitations of proxies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7</w:t>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67" w:lineRule="auto"/>
        <w:rPr>
          <w:sz w:val="20"/>
          <w:szCs w:val="20"/>
          <w:color w:val="auto"/>
        </w:rPr>
      </w:pPr>
      <w:r>
        <w:rPr>
          <w:rFonts w:ascii="Times New Roman" w:cs="Times New Roman" w:eastAsia="Times New Roman" w:hAnsi="Times New Roman"/>
          <w:sz w:val="19"/>
          <w:szCs w:val="19"/>
          <w:color w:val="auto"/>
        </w:rPr>
        <w:t>election of directors in an election contest, or is otherwise required, in each case pursuant to Section 14 of the Exchange Act; (L) a completed and signed questionnaire, representation and agreement for such stockholder or beneficial owner referenced in Section 1.10(f) and a signed certification of the statements (to the extent relating to such stockholder or beneficial owner) set forth in Section 1.10(d), of these By-Laws;</w:t>
      </w:r>
    </w:p>
    <w:p>
      <w:pPr>
        <w:spacing w:after="0" w:line="2" w:lineRule="exact"/>
        <w:rPr>
          <w:sz w:val="20"/>
          <w:szCs w:val="20"/>
          <w:color w:val="auto"/>
        </w:rPr>
      </w:pPr>
    </w:p>
    <w:p>
      <w:pPr>
        <w:jc w:val="both"/>
        <w:ind w:firstLine="8"/>
        <w:spacing w:after="0" w:line="253" w:lineRule="auto"/>
        <w:tabs>
          <w:tab w:leader="none" w:pos="37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such stockholder or beneficial owner intends or is part of a group which intends to solicit proxies or votes from stockholders representing at least sixty-seven percent (67%) of the voting power of the shares entitled to vote on the election of directors in support of director nominees in accordance with Rule 14a-19 promulgated under the Exchange Act; and (N) a representation that such stockholder intends to appear in person or by proxy at the meeting to nominate the person(s) named in its notice.</w:t>
      </w:r>
    </w:p>
    <w:p>
      <w:pPr>
        <w:spacing w:after="0" w:line="17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notice pursuant to this Section 1.10, a stockholder represents and warrants that all information contained in its notice, as of the deadline for submitting the notice, is true, accurate and complete in all respects, contains no false or misleading statements and such stockholder acknowledges that it intends for the corporation and the Board of Directors to rely on such information as (i) being true, accurate and complete in all respects and (ii) not containing any false or misleading statements. If the information submitted pursuant to this Section 1.10 by any stockholder proposing a nomination or other business for consideration at a meeting shall not be true, correct and complete in all respects prior to the deadline for submitting notice, such information may be deemed not to have been provided in accordance with this Section 1.10.</w:t>
      </w:r>
    </w:p>
    <w:p>
      <w:pPr>
        <w:spacing w:after="0" w:line="17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29"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10 days after the record date for the meeting, the information required by Section 1.10(c)(i) and (ii) shall be supplemented by the stockholder giving the notice to provide updated information as of the record date. The stockholder giving notice shall promptly notify the corporation if it fails to satisfy any of the requirements set forth in Rule 14a-19 (or any successor provision) of the promulgated under the Exchange Act. A stockholder shall not have complied with Section 1.10(c) if the stockholder (or beneficial owner, if any, on whose behalf the nomination is made) solicits or does not solicit, as the case may be, proxies or votes in support of such stockholder’s nominee in contravention of the representations with respect thereto required by this Section 1.10 or Rule 14a-19 (or any successor provision) promulgated under the Exchange Act. Upon request by the corporation, if a stockholder provides notice pursuant to Rule 14a-19(b) (or any successor provision) promulgated under the Exchange Act, such stockholder shall deliver to the corporation, no later than five business days prior to the applicable meeting of stockholders, reasonable evidence that it has met the requirements of Rule 14a-19(a)(3) (or any successor provision) promulgated under the Exchange Act. Unless otherwise required by law, if any stockholder provides notice pursuant to Rule 14a-19 (or any successor provision) promulgated under the Exchange Act and subsequently fails to comply with any of the requirements of Rule 14a-19(a)(2) or Rule 14a-19(a)(3) under the Exchange Act, then the corporation shall disregard any proxies or votes solicited for such nominees and such nomination shall be disregarded. Notwithstanding the foregoing provisions of this Section 1.10, a stockholder shall also comply with all applicable requirements of state and federal law, including the Exchange Act, the Certificate of Incorporation and these By-Laws with respect to any nomination set forth in this Section 1.10.</w:t>
      </w:r>
    </w:p>
    <w:p>
      <w:pPr>
        <w:spacing w:after="0" w:line="18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3"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may require that any proposed nominee and any stockholder or beneficial owner who is nominating such nominee or on whose behalf such nomination is being made furnish such other information as the corporation may reasonably require to determine the eligibility of such proposed nominee to serve as a director of the corporation or whether such nominee would be independent under applicable Securities and Exchange Commission and stock exchange rules and the corporation’s corporate governance guidelines as posted on its website or to assist the Board of Directors in its evaluation of the nominee and the nomination. In addition, to be eligible to be a nominee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8</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20"/>
          <w:szCs w:val="20"/>
          <w:color w:val="auto"/>
        </w:rPr>
        <w:t>stockholder for election or reelection as a director of the corporation, both the nominee and each stockholder and beneficial owner who is nominating such nominee or on whose behalf such nomination is being made must complete and deliver (in accordance with the time periods described for delivery of notice under Section 1.10(b) of these By-Laws) to the Secretary at the principal executive offices of the corporation, a written questionnaire with respect to the identity, background and qualification of such proposed nominee and the identity and background of such stockholder or beneficial owner (which questionnaire shall be updated from time to time by, and provided by, the Secretary upon written request).</w:t>
      </w:r>
    </w:p>
    <w:p>
      <w:pPr>
        <w:spacing w:after="0" w:line="192" w:lineRule="exact"/>
        <w:rPr>
          <w:sz w:val="20"/>
          <w:szCs w:val="20"/>
          <w:color w:val="auto"/>
        </w:rPr>
      </w:pPr>
    </w:p>
    <w:p>
      <w:pPr>
        <w:ind w:firstLine="1304"/>
        <w:spacing w:after="0" w:line="269" w:lineRule="auto"/>
        <w:tabs>
          <w:tab w:leader="none" w:pos="172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stockholder directly or indirectly soliciting proxies from other stockholders must use a proxy card color other than white, which shall be reserved for exclusive use by the Board of Directors.</w:t>
      </w:r>
    </w:p>
    <w:p>
      <w:pPr>
        <w:spacing w:after="0" w:line="17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2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1.10,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Section 1.10, to be considered a “qualified representative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1.10, “public disclosure”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 For the purpose of this Section 1.10 and Section 1.11 below, the term “affiliate” or “affiliates” and “associate” or “associates” shall have the meaning ascribed thereto under the Exchange Act.</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Notice of Business at Annual Meetings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66" w:lineRule="auto"/>
        <w:tabs>
          <w:tab w:leader="none" w:pos="175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 annual meeting of the stockholders,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of Directors, or (iii) properly brought before an annual meeting by a stockholder. For business to be properly brought before an annual meeting by a stockholder, (i) if such business relates to the election of directors of the corporation, the procedures in Section 1.10 or Section 1.13 must be complied with and (ii) if such business relates to any other matter, the business must constitute a proper matter under Delaware law for stockholder action and the stockholder must (A) have given timely notice thereof in writing to the Secretary in accordance with the procedures in Section 1.11(b), (B) be a stockholder of record on the date of the giving of such notice and on the record date for the determination of stockholders entitled to vote at such annual meeting and (C) be entitled to vote at such annual meeting.</w:t>
      </w:r>
    </w:p>
    <w:p>
      <w:pPr>
        <w:spacing w:after="0" w:line="183" w:lineRule="exact"/>
        <w:rPr>
          <w:rFonts w:ascii="Times New Roman" w:cs="Times New Roman" w:eastAsia="Times New Roman" w:hAnsi="Times New Roman"/>
          <w:sz w:val="19"/>
          <w:szCs w:val="19"/>
          <w:color w:val="auto"/>
        </w:rPr>
      </w:pPr>
    </w:p>
    <w:p>
      <w:pPr>
        <w:jc w:val="both"/>
        <w:ind w:firstLine="1304"/>
        <w:spacing w:after="0" w:line="258" w:lineRule="auto"/>
        <w:tabs>
          <w:tab w:leader="none" w:pos="172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timely, a stockholder’s notice must be received in writing by the Secretary at the principal executive offices of the corporation not less than 90 days nor more than 120 days prior to the first anniversary of the preceding year’s annual meeting; provided, however, that in the event that the date of the annual meeting is advanced by more than 20 days, or delayed by more than 70 days, from the first anniversary of the preceding year’s annual meeting, a stockholder’s notice must be so received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9</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20"/>
          <w:szCs w:val="20"/>
          <w:color w:val="auto"/>
        </w:rPr>
        <w:t>earlier than the 120th day prior to such annual meeting and not later than the close of business on the later of (i) the 90th day prior to such annual meeting and (ii) the tenth day following the day on which notice of the date of such annual meeting was mailed or public disclosure of the date of such annual meeting was made, whichever first occurs. In no event shall the adjournment or postponement of an annual meeting (or the public disclosure thereof) commence a new time period (or extend any time period) for the giving of a stockholder’s notice.</w:t>
      </w:r>
    </w:p>
    <w:p>
      <w:pPr>
        <w:spacing w:after="0" w:line="172" w:lineRule="exact"/>
        <w:rPr>
          <w:sz w:val="20"/>
          <w:szCs w:val="20"/>
          <w:color w:val="auto"/>
        </w:rPr>
      </w:pPr>
    </w:p>
    <w:p>
      <w:pPr>
        <w:jc w:val="both"/>
        <w:ind w:firstLine="1304"/>
        <w:spacing w:after="0" w:line="249" w:lineRule="auto"/>
        <w:tabs>
          <w:tab w:leader="none" w:pos="175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notice to the Secretary shall set forth (i) as to each matter the stockholder proposes to bring before the annual meeting (A) a brief description of the business desired to be brought before the annual meeting; (B) the text of the proposal (including the exact text of any resolutions proposed for consideration and, in the event that such business includes a proposal to amend the By-Laws, the exact text of the proposed amendment); (C) the reasons for conducting such business at the annual meeting; (D) the information required in Section 1.10(c)(ii)(A) through (I) of the By-Laws; (E) a description of any material interest of such stockholder or such beneficial owner and the respective affiliates and associates of, or others acting in concert with, such stockholder or such beneficial owner in such business; (F) a description of any agreement, arrangement or understanding between or among such stockholder and/or such beneficial owner and any other person or persons (including their names) in connection with the proposal of such business or who may participate in the solicitation of proxies in favor of such proposal; (G) a representation that such stockholder intends to appear in person or by proxy at the annual meeting to bring such business before the meeting; (H) a representation whether such stockholder and/or such beneficial owner intends or is part of a group which intends (1) to deliver a proxy statement and/or form of proxy to holders of at least the percentage of the corporation’s outstanding capital stock required to approve or adopt the proposal (and such representation shall be included in any such proxy statement and form of proxy) and/or (2) otherwise to solicit proxies or votes from stockholders in support of such proposal (and such representation shall be included in any such solicitation materials); (I) any other information relating to such stockholder and such beneficial owner that would be required to be disclosed in a proxy statement or other filings required to be made in connection with solicitations of proxies for the business proposed pursuant to Section 14 of the Exchange Act and the rules and regulations promulgated thereunder; and (J) a signed certification of the statements set forth in Section 1.11(d) of these By-Laws. The corporation may require any stockholder or beneficial owner making such a proposal, or on whose behalf such a proposal is being made, to furnish such other information as the corporation may reasonably require to evaluate such proposal.</w:t>
      </w:r>
    </w:p>
    <w:p>
      <w:pPr>
        <w:spacing w:after="0" w:line="205"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4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delivering notice pursuant to this Section 1.11, a stockholder represents and warrants that all information contained in its notice, as of the deadline for submitting the notice, is true, accurate and complete in all respects, contains no false or misleading statements and such stockholder acknowledges that it intends for the corporation and the Board of Directors to rely on such information as (i) being true, accurate and complete in all respects and (ii) not containing any false or misleading statements. If the information submitted pursuant to this Section 1.11 by any stockholder proposing a nomination or other business for consideration at a meeting shall not be true, correct and complete in all respects prior to the deadline for submitting notice, such information may be deemed not to have been provided in accordance with this Section 1.11.</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10 days after the record date for the meeting, the information required by Section 1.11(b) of the By-Laws shall be supplemented by the stockholder giving the notice to provide updated information as of the record date. Notwithstanding anything in these By-Laws to the contrary, no business shall be conducted at any annual meeting of stockholders except in accordance with the procedures in this Section 1.11; provided that any stockholder proposal which complies with Rule 14a-8 (or any successor provision) of the Exchange Act and is to be included in the corporation’s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10</w:t>
      </w:r>
    </w:p>
    <w:p>
      <w:pPr>
        <w:sectPr>
          <w:pgSz w:w="11900" w:h="16838" w:orient="portrait"/>
          <w:cols w:equalWidth="0" w:num="1">
            <w:col w:w="11240"/>
          </w:cols>
          <w:pgMar w:left="320" w:top="1413"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20"/>
          <w:szCs w:val="20"/>
          <w:color w:val="auto"/>
        </w:rPr>
        <w:t>statement for an annual meeting of stockholders shall be deemed to comply with the notice requirements of this Section 1.11. A stockholder shall not have complied with this Section 1.11(e) if the stockholder (or beneficial owner, if any, on whose behalf the proposal is made) solicits or does not solicit, as the case may be, proxies in support of such stockholder’s proposal in contravention of the representations with respect thereto required by this Section 1.11.</w:t>
      </w:r>
    </w:p>
    <w:p>
      <w:pPr>
        <w:spacing w:after="0" w:line="172" w:lineRule="exact"/>
        <w:rPr>
          <w:sz w:val="20"/>
          <w:szCs w:val="20"/>
          <w:color w:val="auto"/>
        </w:rPr>
      </w:pPr>
    </w:p>
    <w:p>
      <w:pPr>
        <w:jc w:val="both"/>
        <w:ind w:firstLine="1304"/>
        <w:spacing w:after="0" w:line="268" w:lineRule="auto"/>
        <w:tabs>
          <w:tab w:leader="none" w:pos="177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law or Section 1.13 of the By-Laws, nothing in this Section 1.11 shall obligate the corporation or the Board of Directors to include in any proxy statement or other stockholder communication distributed on behalf of the corporation or the Board of Directors information with respect to any proposal submitted by a stockholder.</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72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stockholder directly or indirectly soliciting proxies from other stockholders must use a proxy card color other than white, which shall be reserved for exclusive use by the Board of Directors.</w:t>
      </w:r>
    </w:p>
    <w:p>
      <w:pPr>
        <w:spacing w:after="0" w:line="146"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3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1.11, unless otherwise required by law, if the stockholder (or a qualified representative of the stockholder) does not appear at the annual meeting to present business, such business shall not be considered, notwithstanding that proxies in respect of such business may have been received by the corporation.</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72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1.11, the terms “qualified representative of the stockholder” and “public disclosure” shall have the same meaning as in Section 1.10.</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Conduct of Meetings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7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stockholders shall be presided over by the Chair of the Board, or in the Chair’s absence, the Vice Chair of the Board, or in the absence of the Vice Chair, the Chief Executive Officer; provided, however, that the Board of Directors may appoint any person to act as chair of any meeting in the absence of the Chair of the Board, the Vice Chair or the Chief Executive Officer. The Secretary of the corporation shall act as secretary at all meetings of the stockholders; but in the absence of the Secretary at any meeting of the stockholders, the presiding officer may appoint any person to act as secretary of the meeting.</w:t>
      </w:r>
    </w:p>
    <w:p>
      <w:pPr>
        <w:spacing w:after="0" w:line="191" w:lineRule="exact"/>
        <w:rPr>
          <w:rFonts w:ascii="Times New Roman" w:cs="Times New Roman" w:eastAsia="Times New Roman" w:hAnsi="Times New Roman"/>
          <w:sz w:val="20"/>
          <w:szCs w:val="20"/>
          <w:color w:val="auto"/>
        </w:rPr>
      </w:pPr>
    </w:p>
    <w:p>
      <w:pPr>
        <w:jc w:val="both"/>
        <w:ind w:firstLine="1304"/>
        <w:spacing w:after="0" w:line="264" w:lineRule="auto"/>
        <w:tabs>
          <w:tab w:leader="none" w:pos="1746"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 of any meeting of stockholders shall have the right and authority to convene and (for any or no reason) to recess and/or adjourn the meeting, whether or not a quorum is present, and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11</w:t>
      </w:r>
    </w:p>
    <w:p>
      <w:pPr>
        <w:sectPr>
          <w:pgSz w:w="11900" w:h="16838" w:orient="portrait"/>
          <w:cols w:equalWidth="0" w:num="1">
            <w:col w:w="11240"/>
          </w:cols>
          <w:pgMar w:left="320" w:top="1413" w:right="339" w:bottom="1440" w:gutter="0" w:footer="0" w:header="0"/>
        </w:sectPr>
      </w:pPr>
    </w:p>
    <w:bookmarkStart w:id="34" w:name="page35"/>
    <w:bookmarkEnd w:id="34"/>
    <w:p>
      <w:pPr>
        <w:spacing w:after="0" w:line="283" w:lineRule="auto"/>
        <w:rPr>
          <w:sz w:val="20"/>
          <w:szCs w:val="20"/>
          <w:color w:val="auto"/>
        </w:rPr>
      </w:pPr>
      <w:r>
        <w:rPr>
          <w:rFonts w:ascii="Times New Roman" w:cs="Times New Roman" w:eastAsia="Times New Roman" w:hAnsi="Times New Roman"/>
          <w:sz w:val="20"/>
          <w:szCs w:val="20"/>
          <w:color w:val="auto"/>
        </w:rPr>
        <w:t>Directors or the chair of the meeting, meetings of stockholders shall not be required to be held in accordance with the rules of parliamentary procedure.</w:t>
      </w:r>
    </w:p>
    <w:p>
      <w:pPr>
        <w:spacing w:after="0" w:line="146" w:lineRule="exact"/>
        <w:rPr>
          <w:sz w:val="20"/>
          <w:szCs w:val="20"/>
          <w:color w:val="auto"/>
        </w:rPr>
      </w:pPr>
    </w:p>
    <w:p>
      <w:pPr>
        <w:ind w:firstLine="1304"/>
        <w:spacing w:after="0" w:line="283" w:lineRule="auto"/>
        <w:tabs>
          <w:tab w:leader="none" w:pos="173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 of the meeting shall announce at the meeting when the polls for each matter to be voted upon at the meeting will be opened and closed. After the polls close, no ballots, proxies or votes or any revocations or changes thereto may be accepted.</w:t>
      </w:r>
    </w:p>
    <w:p>
      <w:pPr>
        <w:spacing w:after="0" w:line="14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4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advance of any meeting of stockholders, the Board of Directors, the Chair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Proxy Access Rights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720" w:hanging="416"/>
        <w:spacing w:after="0"/>
        <w:tabs>
          <w:tab w:leader="none" w:pos="17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Proxy Access Nomination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right="100" w:firstLine="1952"/>
        <w:spacing w:after="0" w:line="250" w:lineRule="auto"/>
        <w:tabs>
          <w:tab w:leader="none" w:pos="2343"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Board of Directors solicits proxies with respect to the election of directors at an annual meeting of stockholders, nominations of individuals for election to the Board of Directors at such annual meeting may be made by a stockholder or group of no more than 20 stockholders that satisfies the requirements of this Section 1.13 (as further qualified by the provisions of this Section 1.13, any such individual or group, including as the context requires each member thereof, being hereinafter referred to as an “Eligible Stockholder”). The nomination provisions set forth in this Section 1.13 are separate from, and in addition to, the nomination provisions set forth in Section 1.10. Subject to the provisions of this Section 1.13 and to the extent permitted by applicable law, the corporation shall include in its proxy materials for such annual meeting, in addition to any persons nominated for election by, or at the direction of, a majority of the Board of Directors, the name, together with the Required Information (as defined below), of any person nominated for election (each such person being hereinafter referred to as a “Stockholder Nominee”) to the Board of Directors by an Eligible Stockholder pursuant to this Section 1.13.</w:t>
      </w:r>
    </w:p>
    <w:p>
      <w:pPr>
        <w:spacing w:after="0" w:line="196" w:lineRule="exact"/>
        <w:rPr>
          <w:rFonts w:ascii="Times New Roman" w:cs="Times New Roman" w:eastAsia="Times New Roman" w:hAnsi="Times New Roman"/>
          <w:sz w:val="20"/>
          <w:szCs w:val="20"/>
          <w:color w:val="auto"/>
        </w:rPr>
      </w:pPr>
    </w:p>
    <w:p>
      <w:pPr>
        <w:jc w:val="both"/>
        <w:ind w:right="100" w:firstLine="1952"/>
        <w:spacing w:after="0" w:line="265" w:lineRule="auto"/>
        <w:tabs>
          <w:tab w:leader="none" w:pos="2443" w:val="left"/>
        </w:tabs>
        <w:numPr>
          <w:ilvl w:val="2"/>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1.13, the “Required Information” that the corporation will include in its proxy materials is (A) the information concerning the Stockholder Nominee and the Eligible Stockholder that is required to be disclosed in the corporation’s proxy statement by the rules and regulations promulgated under the Exchange Act, by these By-Laws, by the Certificate of Incorporation and/or by the listing standards of each principal U.S. exchange upon which the common stock of the corporation is listed; and</w:t>
      </w:r>
    </w:p>
    <w:p>
      <w:pPr>
        <w:spacing w:after="0" w:line="2"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written statement, if any, consisting of 500 words or fewer delivered by the Eligible Stockholder pursuant to Section 1.13(d)(iv) in</w:t>
      </w:r>
    </w:p>
    <w:p>
      <w:pPr>
        <w:spacing w:after="0" w:line="6"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0"/>
          <w:szCs w:val="20"/>
          <w:color w:val="auto"/>
        </w:rPr>
        <w:t>support of the Stockholder Nominee’s candidacy that is clearly and specifically identified as the written statement that the Eligible Stockholder requests the corporation to include in its proxy materials and does not include any references to any other statements or written materials in support of the Stockholder Nominee’s candidacy or any website or other locations where any such statements or written materials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12</w:t>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52" w:lineRule="auto"/>
        <w:rPr>
          <w:sz w:val="20"/>
          <w:szCs w:val="20"/>
          <w:color w:val="auto"/>
        </w:rPr>
      </w:pPr>
      <w:r>
        <w:rPr>
          <w:rFonts w:ascii="Times New Roman" w:cs="Times New Roman" w:eastAsia="Times New Roman" w:hAnsi="Times New Roman"/>
          <w:sz w:val="20"/>
          <w:szCs w:val="20"/>
          <w:color w:val="auto"/>
        </w:rPr>
        <w:t>found (the “Statement”). If the Eligible Stockholder has not provided to the Secretary of the corporation a Statement within the time period specified in this Section 1.13 for delivering the Notice of Proxy Access Nomination (as defined below), the Eligible Stockholder will be deemed to have not provided the Statement and the Required Information will not include the Statement. Notwithstanding anything to the contrary contained in this Section 1.13, the corporation may omit from its proxy materials any information or Statement (or portion thereof) if the corporation believes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person; or (C) the inclusion of such information in the proxy statement would otherwise violate the Securities and Exchange Commission proxy rules or any other applicable law, rule or regulation.</w:t>
      </w:r>
    </w:p>
    <w:p>
      <w:pPr>
        <w:spacing w:after="0" w:line="176" w:lineRule="exact"/>
        <w:rPr>
          <w:sz w:val="20"/>
          <w:szCs w:val="20"/>
          <w:color w:val="auto"/>
        </w:rPr>
      </w:pPr>
    </w:p>
    <w:p>
      <w:pPr>
        <w:ind w:left="1740" w:hanging="436"/>
        <w:spacing w:after="0"/>
        <w:tabs>
          <w:tab w:leader="none" w:pos="17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Requirements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38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nominate a Stockholder Nominee pursuant to this Section 1.13, an Eligible Stockholder must, in addition to satisfying the other requirements of Section 1.13, provide to the Secretary of the corporation, a written notice expressly nominating its Stockholder Nominee(s) and electing to have its Stockholder Nominee(s) included in the corporation’s proxy materials pursuant to this Section 1.13 that complies with the requirements set forth in this Section 1.13 (a “Notice of Proxy Access Nomination”) within the time period set forth below. In order for an Eligible Stockholder to nominate a Stockholder Nominee pursuant to this Section 1.13, the Eligible Stockholder’s Notice of Proxy Access Nomination must be received by the Secretary of the corporation at the principal executive office of the corporation not earlier than the 120th day nor later than 5:00 p.m., Eastern Time, on the 90th day prior to the first anniversary of the date of the notice for the preceding year’s annual meeting; provided, however, that in the event that the date of the annual meeting is advanced or delayed by more than 30 days from the first anniversary of the date of the preceding year’s annual meeting, Notice of Proxy Access Nomination by the Eligible Stockholder to be timely must be so delivered not earlier than the 120th day prior to the date of such annual meeting and not later than 5:00 p.m., Eastern Time, on the later of the 90th day prior to the date of such annual meeting, as originally convened, or the tenth day following the day on which public announcement of the date of such meeting is first made. In no event shall an adjournment, postponement or rescheduling of any previously scheduled meeting of stockholders, or the public announcement thereof, commence a new time period for the giving of a Notice of Proxy Access Nomination under this Section 1.13. For purposes of this Section 1.13,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96" w:lineRule="exact"/>
        <w:rPr>
          <w:rFonts w:ascii="Times New Roman" w:cs="Times New Roman" w:eastAsia="Times New Roman" w:hAnsi="Times New Roman"/>
          <w:sz w:val="20"/>
          <w:szCs w:val="20"/>
          <w:color w:val="auto"/>
        </w:rPr>
      </w:pPr>
    </w:p>
    <w:p>
      <w:pPr>
        <w:jc w:val="both"/>
        <w:ind w:firstLine="1952"/>
        <w:spacing w:after="0" w:line="251" w:lineRule="auto"/>
        <w:tabs>
          <w:tab w:leader="none" w:pos="240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nominate a Stockholder Nominee pursuant to this Section 1.13, an Eligible Stockholder providing the Required Information within the time period specified in Section 1.13(b)(i) for delivering the Notice of Proxy Access Nomination must further update and supplement such Required Information, if necessary, so that all such information provided or required to be provided shall be true and correct as of the close of business on the record date for purposes of determining the stockholders entitled to vote at such annual meeting and as of the date that is ten business days prior to such annual meeting, and such update and supplement (or a written notice stating that there is no such update or supplement) must be delivered in writing to the Secretary of the corporation at the principal executive office of the corporation not later than 5:00 p.m., Eastern Time, on the fifth business day after the record date for purposes of determining the stockholders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5E5E61"/>
        </w:rPr>
        <w:t>13</w:t>
      </w:r>
    </w:p>
    <w:p>
      <w:pPr>
        <w:sectPr>
          <w:pgSz w:w="11900" w:h="16838" w:orient="portrait"/>
          <w:cols w:equalWidth="0" w:num="1">
            <w:col w:w="11140"/>
          </w:cols>
          <w:pgMar w:left="320" w:top="1413" w:right="439" w:bottom="1440" w:gutter="0" w:footer="0" w:header="0"/>
        </w:sectPr>
      </w:pPr>
    </w:p>
    <w:bookmarkStart w:id="36" w:name="page37"/>
    <w:bookmarkEnd w:id="36"/>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at the meeting (in the case of the update and supplement required to be made as of the record date), and not later than 5:00 p.m., Eastern Time, on the fifth business day prior to the date for the meeting (in the case of the update and supplement required to be made as of ten business days prior to the meeting).</w:t>
      </w:r>
    </w:p>
    <w:p>
      <w:pPr>
        <w:spacing w:after="0" w:line="181" w:lineRule="exact"/>
        <w:rPr>
          <w:sz w:val="20"/>
          <w:szCs w:val="20"/>
          <w:color w:val="auto"/>
        </w:rPr>
      </w:pPr>
    </w:p>
    <w:p>
      <w:pPr>
        <w:jc w:val="both"/>
        <w:ind w:firstLine="1952"/>
        <w:spacing w:after="0" w:line="253" w:lineRule="auto"/>
        <w:tabs>
          <w:tab w:leader="none" w:pos="254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of the information or communications provided by the Eligible Stockholder or the Stockholder Nominee to the corporation or its stockholders ceases to be true and correct in all material respects or omits a material fact necessary in order to make the statements made, in light of the circumstances under which they were made, not misleading, each Eligible Stockholder or Stockholder Nominee, as the case may be, shall promptly notify the Secretary of the corporation of any defect in such previously provided information or communications and of the information that is required to correct any such defect.</w:t>
      </w:r>
    </w:p>
    <w:p>
      <w:pPr>
        <w:spacing w:after="0" w:line="19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Number of Stockholder Nominees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51" w:lineRule="auto"/>
        <w:tabs>
          <w:tab w:leader="none" w:pos="234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maximum number of Stockholder Nominees nominated by all Eligible Stockholders that will be included in the corporation’s proxy materials with respect to an annual meeting shall not exceed 25% of the number of directors in office as of the last day on which a Notice of Proxy Access Nomination may be timely delivered pursuant to and in accordance with this Section 1.13 (the “Final Proxy Access Nomination Date”), or if such amount is not a whole number, the closest whole number below 25%;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maximum number of Stockholder Nominees that will be included in the corporation’s proxy materials with respect to an annual meeting will be reduced by (i) the number of Stockholder Nominees whom the Board of Directors itself decides to nominate for election at such annual meeting; (ii) the number of individuals who will be included in the corporation’s proxy materials as nominees recommended by the Board of Directors pursuant to an agreement, arrangement or other understanding with a stockholder or group of stockholders (other than any such agreement, arrangement or understanding entered into in connection with an acquisition of shares from the corporation by such stockholder or group of stockholders) and (iii) the number of individuals that the Board of Directors decides to nominate for re-election who were previously elected to the Board of Directors with respect to any of the preceding two annual meetings based on a nomination by one or more stockholders pursuant to Section 1.10 or this Section 1.13.</w:t>
      </w:r>
    </w:p>
    <w:p>
      <w:pPr>
        <w:spacing w:after="0" w:line="178" w:lineRule="exact"/>
        <w:rPr>
          <w:sz w:val="20"/>
          <w:szCs w:val="20"/>
          <w:color w:val="auto"/>
        </w:rPr>
      </w:pPr>
    </w:p>
    <w:p>
      <w:pPr>
        <w:jc w:val="both"/>
        <w:ind w:firstLine="1952"/>
        <w:spacing w:after="0" w:line="250" w:lineRule="auto"/>
        <w:tabs>
          <w:tab w:leader="none" w:pos="242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Eligible Stockholder submitting more than one Stockholder Nominee for inclusion in the corporation’s proxy materials pursuant to this Section 1.13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1.13 exceeds the maximum number of Stockholder Nominees provided for in Section 1.13(c)(i) (including by operation of Section 1.13(c)(iii)). In the event that the number of Stockholder Nominees submitted by Eligible Stockholders pursuant to this Section 1.13 for an annual meeting exceeds the maximum number of Stockholder Nominees provided for in Section 1.13(c)(i) (including by operation of Section 1.13(c)(iii)), the highest ranking Stockholder Nominee who meets the requirements of this Section 1.13 from each Eligible Stockholder (with such determination and the determination of whether a stockholder or group of stockholders constitutes an Eligible Stockholder to be based on compliance with the provisions of this Section 1.13 as of the Final Proxy Access Nomination Date) will be selected for inclusion in the corporation’s proxy materials until the maximum number is reached, going in order from the largest to the smallest of such Eligible Stockholders based on the number of shares of common stock of the corporation each Eligible Stockholder disclosed as owned by such Eligible Stockholder in the Notice of Proxy Access Nomination submitted to the corporation hereunder. If the maximum number of Stockholder Nominees provided for in this Section 1.13 is not reached after the highest 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5E5E61"/>
        </w:rPr>
        <w:t>14</w:t>
      </w:r>
    </w:p>
    <w:p>
      <w:pPr>
        <w:sectPr>
          <w:pgSz w:w="11900" w:h="16838" w:orient="portrait"/>
          <w:cols w:equalWidth="0" w:num="1">
            <w:col w:w="11140"/>
          </w:cols>
          <w:pgMar w:left="320" w:top="1413" w:right="439" w:bottom="1440" w:gutter="0" w:footer="0" w:header="0"/>
        </w:sectPr>
      </w:pPr>
    </w:p>
    <w:bookmarkStart w:id="37" w:name="page38"/>
    <w:bookmarkEnd w:id="37"/>
    <w:p>
      <w:pPr>
        <w:jc w:val="both"/>
        <w:spacing w:after="0" w:line="250" w:lineRule="auto"/>
        <w:rPr>
          <w:sz w:val="20"/>
          <w:szCs w:val="20"/>
          <w:color w:val="auto"/>
        </w:rPr>
      </w:pPr>
      <w:r>
        <w:rPr>
          <w:rFonts w:ascii="Times New Roman" w:cs="Times New Roman" w:eastAsia="Times New Roman" w:hAnsi="Times New Roman"/>
          <w:sz w:val="20"/>
          <w:szCs w:val="20"/>
          <w:color w:val="auto"/>
        </w:rPr>
        <w:t>Stockholder Nominee who meets the requirements of this Section 1.13 from each Eligible Stockholder determined in the manner set forth above has been selected, this selection process will continue as many times as necessary, following the same order each time, until the maximum number of Stockholder Nominees provided for in this Section 1.13 is reached. The Stockholder Nominees initially selected in accordance with this Section 1.13(c)(ii) will be the only Stockholder Nominees eligible to be nominated or included in the corporation’s proxy materials pursuant to this Section 1.13. The Notices of Proxy Access Nomination and nominations of all of the remaining Stockholder Nominees not initially selected pursuant to this Section 1.13(c)(ii) will be deemed to have been withdrawn by each of the applicable stockholders as of the Final Proxy Access Nomination Date, and, following such initial selection, if any one or more of the Stockholder Nominees so selected are (A) nominated by the Board of Directors or (B) not included in the corporation’s proxy materials or are not submitted for election for any reason, including, without limitation, a subsequent failure to comply with this Section 1.13 by the Eligible Stockholder or the Eligible Stockholder’s withdrawal of the nomination, then, in each case, no additional Stockholder Nominees will be included in the corporation’s proxy materials or otherwise submitted for stockholder election pursuant to this Section 1.13.</w:t>
      </w:r>
    </w:p>
    <w:p>
      <w:pPr>
        <w:spacing w:after="0" w:line="200" w:lineRule="exact"/>
        <w:rPr>
          <w:sz w:val="20"/>
          <w:szCs w:val="20"/>
          <w:color w:val="auto"/>
        </w:rPr>
      </w:pPr>
    </w:p>
    <w:p>
      <w:pPr>
        <w:jc w:val="both"/>
        <w:ind w:firstLine="1952"/>
        <w:spacing w:after="0" w:line="251" w:lineRule="auto"/>
        <w:tabs>
          <w:tab w:leader="none" w:pos="256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one or more vacancies occur on the Board of Directors after the Final Proxy Access Nomination Date but before the date of the applicable annual meeting and the Board of Directors resolves to reduce the size of the Board of Directors in connection therewith, the maximum number of Stockholder Nominees eligible to be nominated or included in the corporation’s proxy materials pursuant to this Section 1.13 shall be calculated based on the number of directors in office as so reduced. The Notices of Proxy Access Nomination and nominations of any Stockholder Nominees who cease to be eligible to be nominated or included in the corporation’s proxy materials pursuant to this Section 1.13 as a result of the operation of this Section 1.13(c)(iii) will be deemed to have been withdrawn by each of the applicable Eligible Stockholders as of the Final Proxy Access Nomination Date.</w:t>
      </w:r>
    </w:p>
    <w:p>
      <w:pPr>
        <w:spacing w:after="0" w:line="19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Eligibility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64" w:lineRule="auto"/>
        <w:tabs>
          <w:tab w:leader="none" w:pos="2383"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1.13, an Eligible Stockholder shall be deemed to “own” only those outstanding shares of common stock of the corporation as to which the Eligible Stockholder possesses both (A) the full voting and investment rights pertaining to the shares and (B) the full economic interest in (including the opportunity for profit from and risk of loss on) such shares; provided that the number of shares calculated in accordance with clauses (A) and (B) (x) shall not include any shares (I) borrowed by such Eligible Stockholder for any purposes or purchased by such Eligible Stockholder pursuant to an agreement to resell, (II) sold by such Eligible Stockholder or any of its affiliates in any transaction that has not been settled or closed or (III)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the purpose or effect of (1) reducing in any manner, to any extent or at any time in the future, such Eligible Stockholder’s or its affiliates’ full right to vote or direct the voting of any such shares by such Eligible Stockholder or any of its affiliates and/or (2) hedging, offsetting or altering to any degree any gain or loss realized or realizable from maintaining the full economic ownership of such shares by such Eligible Stockholder or affiliate, and (y) shall be reduced by the notional amount of shares of common stock of the corporation subject to any option, warrant, forward contract, swap, contract of sale, other derivative or similar agreement entered into by such Eligible Stockholder or any of its affiliates, whether or not any such instrument is to be settled with shares or with cash, to the extent the number of shares owned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5E5E61"/>
        </w:rPr>
        <w:t>15</w:t>
      </w:r>
    </w:p>
    <w:p>
      <w:pPr>
        <w:sectPr>
          <w:pgSz w:w="11900" w:h="16838" w:orient="portrait"/>
          <w:cols w:equalWidth="0" w:num="1">
            <w:col w:w="11140"/>
          </w:cols>
          <w:pgMar w:left="320" w:top="1413" w:right="439" w:bottom="1440" w:gutter="0" w:footer="0" w:header="0"/>
        </w:sectPr>
      </w:pPr>
    </w:p>
    <w:bookmarkStart w:id="38" w:name="page39"/>
    <w:bookmarkEnd w:id="38"/>
    <w:p>
      <w:pPr>
        <w:jc w:val="both"/>
        <w:spacing w:after="0" w:line="250" w:lineRule="auto"/>
        <w:rPr>
          <w:sz w:val="20"/>
          <w:szCs w:val="20"/>
          <w:color w:val="auto"/>
        </w:rPr>
      </w:pPr>
      <w:r>
        <w:rPr>
          <w:rFonts w:ascii="Times New Roman" w:cs="Times New Roman" w:eastAsia="Times New Roman" w:hAnsi="Times New Roman"/>
          <w:sz w:val="20"/>
          <w:szCs w:val="20"/>
          <w:color w:val="auto"/>
        </w:rPr>
        <w:t>Eligible Stockholder was not already reduced by such amount pursuant to clause (x)(III) above, and a number of shares of common stock of the corporation equal to the net “short” position in the common stock of the corporation held by such Eligible Stockholder’s affiliates, whether through short sales, options, warrants, forward contracts, swaps, contracts of sale, other derivatives or similar agreements or any other agreement or arrangement. An Eligible Stockholder shall “own”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instrument or arrangement which is unconditionally revocable at any time by the Eligible Stockholder. The terms “owned,” “owning” and other variations of the word “own” shall have correlative meanings. Whether outstanding shares of the common stock of the corporation are “owned” for these purposes shall be determined by the Board of Directors or any committee thereof. For purposes of this Section 1.13, the term “affiliate” or “affiliates” shall have the meaning ascribed thereto under the General Rules and Regulations of the Exchange Act.</w:t>
      </w:r>
    </w:p>
    <w:p>
      <w:pPr>
        <w:spacing w:after="0" w:line="200" w:lineRule="exact"/>
        <w:rPr>
          <w:sz w:val="20"/>
          <w:szCs w:val="20"/>
          <w:color w:val="auto"/>
        </w:rPr>
      </w:pPr>
    </w:p>
    <w:p>
      <w:pPr>
        <w:jc w:val="both"/>
        <w:ind w:firstLine="1952"/>
        <w:spacing w:after="0" w:line="250" w:lineRule="auto"/>
        <w:tabs>
          <w:tab w:leader="none" w:pos="24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order to make a nomination pursuant to this Section 1.13, an Eligible Stockholder must have owned the Required Ownership Percentage (as defined below) of the corporation’s outstanding common stock (the “Required Shares”) continuously for the Minimum Holding Period (as defined below) or longer as of both the date the Notice of Proxy Access Nomination is required to be received by the corporation in accordance with this Section 1.13 and the close of business on the record date for determining stockholders entitled to vote at the applicable annual meeting, and must continue to own the Required Shares through the applicable meeting date (and any postponement or adjournment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up to, but not more than, 20 individual stockholders who otherwise meet all of the requirements to be an Eligible Stockholder may aggregate their stockholdings in order to meet the Required Ownership Percentage, but not the Minimum Holding Period, of the Required Shares. For purposes of this Section 1.13, the “Required Ownership Percentage” is 3% or more of the corporation’s issued and outstanding common stock, and the “Minimum Holding Period” is three years.</w:t>
      </w:r>
    </w:p>
    <w:p>
      <w:pPr>
        <w:spacing w:after="0" w:line="192" w:lineRule="exact"/>
        <w:rPr>
          <w:rFonts w:ascii="Times New Roman" w:cs="Times New Roman" w:eastAsia="Times New Roman" w:hAnsi="Times New Roman"/>
          <w:sz w:val="20"/>
          <w:szCs w:val="20"/>
          <w:color w:val="auto"/>
        </w:rPr>
      </w:pPr>
    </w:p>
    <w:p>
      <w:pPr>
        <w:jc w:val="both"/>
        <w:ind w:firstLine="1952"/>
        <w:spacing w:after="0" w:line="250" w:lineRule="auto"/>
        <w:tabs>
          <w:tab w:leader="none" w:pos="247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Eligible Stockholder consists of a group of more than one stockholder, each provision in this Section 1.13 that requires the Eligible Stockholder to provide any written statements, representations, undertakings, agreements or other instruments or to meet any other conditions shall be deemed to require each stockholder that is a member of such group to provide such statements, representations, undertakings, agreements or other instruments and to meet such other conditions. In determining the aggregate number of stockholders in a group, a “group of investment companies,” as such term is defined in Section 12(d)(1)(G)(ii) of the Investment Company Act of 1940, as amended, (a “Qualifying Fund Family”) shall be treated as one stockholder. Not later than the deadline for delivery of the Notice of Proxy Access Nomination pursuant to this Section 1.13, a Qualifying Fund Family whose stock ownership is counted for purposes of determining whether a stockholder or group of stockholders qualifies as an Eligible Stockholder shall provide to the Secretary of the corporation such documentation as is reasonably satisfactory to the Board of Directors, in its sole discretion, that demonstrates that the funds comprising the Qualifying Fund Family satisfy the definition hereof. When an Eligible Stockholder is comprised of a group, a violation of any provision of these By-Laws by any member of the group shall be deemed a violation by the entire Eligible Stockholder group. No person may be a member of more than one group of persons constituting an Eligible Stockholder with respect to any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5E5E61"/>
        </w:rPr>
        <w:t>16</w:t>
      </w:r>
    </w:p>
    <w:p>
      <w:pPr>
        <w:sectPr>
          <w:pgSz w:w="11900" w:h="16838" w:orient="portrait"/>
          <w:cols w:equalWidth="0" w:num="1">
            <w:col w:w="11140"/>
          </w:cols>
          <w:pgMar w:left="320" w:top="1413" w:right="439" w:bottom="1440" w:gutter="0" w:footer="0" w:header="0"/>
        </w:sectPr>
      </w:pPr>
    </w:p>
    <w:bookmarkStart w:id="39" w:name="page40"/>
    <w:bookmarkEnd w:id="39"/>
    <w:p>
      <w:pPr>
        <w:jc w:val="both"/>
        <w:ind w:left="-40" w:right="80" w:firstLine="1952"/>
        <w:spacing w:after="0" w:line="258" w:lineRule="auto"/>
        <w:tabs>
          <w:tab w:leader="none" w:pos="239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providing the Notice of Proxy Access Nomination in accordance with Section 1.13(b)(i) above, in order to nominate a Stockholder Nominee pursuant to this Section 1.13, an Eligible Stockholder or the Stockholder Nominee, as applicable, must provide the following information in writing to the Secretary of the corporation within the time period specified in this Section 1.13 for delivering the Notice of Proxy Access Nomination:</w:t>
      </w:r>
    </w:p>
    <w:p>
      <w:pPr>
        <w:spacing w:after="0" w:line="172" w:lineRule="exact"/>
        <w:rPr>
          <w:rFonts w:ascii="Times New Roman" w:cs="Times New Roman" w:eastAsia="Times New Roman" w:hAnsi="Times New Roman"/>
          <w:sz w:val="20"/>
          <w:szCs w:val="20"/>
          <w:color w:val="auto"/>
        </w:rPr>
      </w:pPr>
    </w:p>
    <w:p>
      <w:pPr>
        <w:ind w:left="-40" w:right="280" w:firstLine="2762"/>
        <w:spacing w:after="0" w:line="253" w:lineRule="auto"/>
        <w:tabs>
          <w:tab w:leader="none" w:pos="3191" w:val="left"/>
        </w:tabs>
        <w:numPr>
          <w:ilvl w:val="1"/>
          <w:numId w:val="55"/>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one or more written statements from the record holders of the Required Shares or from the intermediaries through which the Required Shares are or have been held during the Minimum Holding Period verifying that, as of a date within seven business days prior to the date the Notice of Proxy Access Nomination is received by the Secretary of the corporation, the Eligible Stockholder owns, and has owned continuously for the Minimum Holding Period, the Required Shares, and the Eligible Stockholder’s agreement to provide the updates and supplements (or written notices stating that there are no such updates or supplements) described in Section 1.13(b)(ii) within the time periods set forth therein;</w:t>
      </w:r>
    </w:p>
    <w:p>
      <w:pPr>
        <w:spacing w:after="0" w:line="192" w:lineRule="exact"/>
        <w:rPr>
          <w:rFonts w:ascii="Times New Roman" w:cs="Times New Roman" w:eastAsia="Times New Roman" w:hAnsi="Times New Roman"/>
          <w:sz w:val="20"/>
          <w:szCs w:val="20"/>
          <w:color w:val="5E5E61"/>
        </w:rPr>
      </w:pPr>
    </w:p>
    <w:p>
      <w:pPr>
        <w:ind w:left="-40" w:right="120" w:firstLine="2762"/>
        <w:spacing w:after="0" w:line="261" w:lineRule="auto"/>
        <w:tabs>
          <w:tab w:leader="none" w:pos="3194" w:val="left"/>
        </w:tabs>
        <w:numPr>
          <w:ilvl w:val="1"/>
          <w:numId w:val="55"/>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a copy of the Schedule 14N filed or to be filed with the Securities and Exchange Commission (and, if not included in such Schedule 14N, the details of any relationship that existed within the past three years and that would have been described pursuant to Item 6(e) of Schedule 14N (or any successor item) if it existed on the date of submission of the Schedule 14N);</w:t>
      </w:r>
    </w:p>
    <w:p>
      <w:pPr>
        <w:spacing w:after="0" w:line="181" w:lineRule="exact"/>
        <w:rPr>
          <w:rFonts w:ascii="Times New Roman" w:cs="Times New Roman" w:eastAsia="Times New Roman" w:hAnsi="Times New Roman"/>
          <w:sz w:val="20"/>
          <w:szCs w:val="20"/>
          <w:color w:val="5E5E61"/>
        </w:rPr>
      </w:pPr>
    </w:p>
    <w:p>
      <w:pPr>
        <w:jc w:val="both"/>
        <w:ind w:left="-40" w:right="40" w:firstLine="2762"/>
        <w:spacing w:after="0" w:line="261" w:lineRule="auto"/>
        <w:tabs>
          <w:tab w:leader="none" w:pos="3194" w:val="left"/>
        </w:tabs>
        <w:numPr>
          <w:ilvl w:val="1"/>
          <w:numId w:val="55"/>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the Required Information (with the Statement, if any, clearly and specifically identified as such) and all other information, representations and agreements that are required to be set forth in a stockholder’s notice, or provided to the corporation in order to nominate an individual for election as a director, pursuant to Section 1.10;</w:t>
      </w:r>
    </w:p>
    <w:p>
      <w:pPr>
        <w:spacing w:after="0" w:line="181" w:lineRule="exact"/>
        <w:rPr>
          <w:rFonts w:ascii="Times New Roman" w:cs="Times New Roman" w:eastAsia="Times New Roman" w:hAnsi="Times New Roman"/>
          <w:sz w:val="20"/>
          <w:szCs w:val="20"/>
          <w:color w:val="5E5E61"/>
        </w:rPr>
      </w:pPr>
    </w:p>
    <w:p>
      <w:pPr>
        <w:ind w:left="-40" w:right="640" w:firstLine="2762"/>
        <w:spacing w:after="0" w:line="269" w:lineRule="auto"/>
        <w:tabs>
          <w:tab w:leader="none" w:pos="3191" w:val="left"/>
        </w:tabs>
        <w:numPr>
          <w:ilvl w:val="1"/>
          <w:numId w:val="55"/>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the written consent of each Stockholder Nominee to being named in the proxy statement as a nominee and to serving as a director if elected;</w:t>
      </w:r>
    </w:p>
    <w:p>
      <w:pPr>
        <w:spacing w:after="0" w:line="172" w:lineRule="exact"/>
        <w:rPr>
          <w:rFonts w:ascii="Times New Roman" w:cs="Times New Roman" w:eastAsia="Times New Roman" w:hAnsi="Times New Roman"/>
          <w:sz w:val="20"/>
          <w:szCs w:val="20"/>
          <w:color w:val="5E5E61"/>
        </w:rPr>
      </w:pPr>
    </w:p>
    <w:p>
      <w:pPr>
        <w:ind w:left="-40" w:firstLine="2762"/>
        <w:spacing w:after="0" w:line="271" w:lineRule="auto"/>
        <w:tabs>
          <w:tab w:leader="none" w:pos="3196" w:val="left"/>
        </w:tabs>
        <w:numPr>
          <w:ilvl w:val="1"/>
          <w:numId w:val="55"/>
        </w:numPr>
        <w:rPr>
          <w:rFonts w:ascii="Times New Roman" w:cs="Times New Roman" w:eastAsia="Times New Roman" w:hAnsi="Times New Roman"/>
          <w:sz w:val="19"/>
          <w:szCs w:val="19"/>
          <w:color w:val="5E5E61"/>
        </w:rPr>
      </w:pPr>
      <w:r>
        <w:rPr>
          <w:rFonts w:ascii="Times New Roman" w:cs="Times New Roman" w:eastAsia="Times New Roman" w:hAnsi="Times New Roman"/>
          <w:sz w:val="19"/>
          <w:szCs w:val="19"/>
          <w:color w:val="auto"/>
        </w:rPr>
        <w:t>in the case of a Notice of Proxy Access Nomination that is submitted by an Eligible Stockholder that is comprised of a group of stockholders, the designation by all of such stockholders of one of such stockholders who is authorized to act on behalf of all of such stockholders with respect to all matters relating to the nomination or inclusion in the corporation’s proxy materials of the Stockholder Nominee(s) nominated by such Eligible Stockholder, including, without limitation, the withdrawal of such nomination;</w:t>
      </w:r>
    </w:p>
    <w:p>
      <w:pPr>
        <w:spacing w:after="0" w:line="174" w:lineRule="exact"/>
        <w:rPr>
          <w:rFonts w:ascii="Times New Roman" w:cs="Times New Roman" w:eastAsia="Times New Roman" w:hAnsi="Times New Roman"/>
          <w:sz w:val="19"/>
          <w:szCs w:val="19"/>
          <w:color w:val="5E5E61"/>
        </w:rPr>
      </w:pPr>
    </w:p>
    <w:p>
      <w:pPr>
        <w:ind w:left="-40" w:right="40" w:firstLine="2762"/>
        <w:spacing w:after="0" w:line="258" w:lineRule="auto"/>
        <w:tabs>
          <w:tab w:leader="none" w:pos="3199" w:val="left"/>
        </w:tabs>
        <w:numPr>
          <w:ilvl w:val="1"/>
          <w:numId w:val="55"/>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an agreement by each Stockholder Nominee, upon such Stockholder Nominee’s election, to make such acknowledgements, enter into such agreements and provide such information as the Board of Directors requires of all directors at such time, including without limitation, agreeing to be bound by the corporation’s code of ethics, insider trading policies and procedures and other similar policies and procedures;</w:t>
      </w:r>
    </w:p>
    <w:p>
      <w:pPr>
        <w:spacing w:after="0" w:line="172" w:lineRule="exact"/>
        <w:rPr>
          <w:rFonts w:ascii="Times New Roman" w:cs="Times New Roman" w:eastAsia="Times New Roman" w:hAnsi="Times New Roman"/>
          <w:sz w:val="20"/>
          <w:szCs w:val="20"/>
          <w:color w:val="5E5E61"/>
        </w:rPr>
      </w:pPr>
    </w:p>
    <w:p>
      <w:pPr>
        <w:ind w:left="-40" w:right="220" w:firstLine="2762"/>
        <w:spacing w:after="0" w:line="258" w:lineRule="auto"/>
        <w:tabs>
          <w:tab w:leader="none" w:pos="3191" w:val="left"/>
        </w:tabs>
        <w:numPr>
          <w:ilvl w:val="1"/>
          <w:numId w:val="55"/>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an irrevocable resignation of the Stockholder Nominee, which shall become effective upon a determination in good faith by the Board of Directors or any committee thereof that the information provided to the corporation by such individual pursuant to this Section 1.13 was untrue in any material respect or omitted to state a material fact necessary in order to make the statements made, in light of the circumstances under which they were made, not misleading;</w:t>
      </w:r>
    </w:p>
    <w:p>
      <w:pPr>
        <w:spacing w:after="0" w:line="185" w:lineRule="exact"/>
        <w:rPr>
          <w:rFonts w:ascii="Times New Roman" w:cs="Times New Roman" w:eastAsia="Times New Roman" w:hAnsi="Times New Roman"/>
          <w:sz w:val="20"/>
          <w:szCs w:val="20"/>
          <w:color w:val="5E5E61"/>
        </w:rPr>
      </w:pPr>
    </w:p>
    <w:p>
      <w:pPr>
        <w:ind w:left="-40" w:right="80" w:firstLine="2762"/>
        <w:spacing w:after="0" w:line="261" w:lineRule="auto"/>
        <w:tabs>
          <w:tab w:leader="none" w:pos="3191" w:val="left"/>
        </w:tabs>
        <w:numPr>
          <w:ilvl w:val="1"/>
          <w:numId w:val="55"/>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a representation (in the form provided by the Secretary of the corporation upon written request) that the Eligible Stockholder (I) acquired the Required Shares in the ordinary course of business and not with the intent to change or influence control at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17</w:t>
      </w:r>
    </w:p>
    <w:p>
      <w:pPr>
        <w:sectPr>
          <w:pgSz w:w="11900" w:h="16838" w:orient="portrait"/>
          <w:cols w:equalWidth="0" w:num="1">
            <w:col w:w="11180"/>
          </w:cols>
          <w:pgMar w:left="360" w:top="1413" w:right="359" w:bottom="1440" w:gutter="0" w:footer="0" w:header="0"/>
        </w:sectPr>
      </w:pPr>
    </w:p>
    <w:bookmarkStart w:id="40" w:name="page41"/>
    <w:bookmarkEnd w:id="40"/>
    <w:p>
      <w:pPr>
        <w:ind w:right="100"/>
        <w:spacing w:after="0" w:line="265" w:lineRule="auto"/>
        <w:rPr>
          <w:sz w:val="20"/>
          <w:szCs w:val="20"/>
          <w:color w:val="auto"/>
        </w:rPr>
      </w:pPr>
      <w:r>
        <w:rPr>
          <w:rFonts w:ascii="Times New Roman" w:cs="Times New Roman" w:eastAsia="Times New Roman" w:hAnsi="Times New Roman"/>
          <w:sz w:val="19"/>
          <w:szCs w:val="19"/>
          <w:color w:val="auto"/>
        </w:rPr>
        <w:t>that the Eligible Stockholder does not presently have such intent, (II) has not nominated and will not nominate for election to the Board of Directors at the annual meeting (or any postponement or adjournment thereof) any person other than the Stockholder Nominee(s) being nominated pursuant to this Section 1.13,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will not distribute to any stockholder any form of proxy for the annual meeting other than the form of proxy distributed by the corporation, (V) agrees to comply with all other laws and regulations applicable to any solicitation in connection with the annual meeting, including, without limitation, Rule 14a-9 promulgated under the Exchange Act, (VI) meets the requirements set forth in this Section 1.13, and (VII) has provided and will continue to provide facts, statements and other information in all communications with the corporation and its stockholders in connection with the nomination hereunder that is or will be true and correct in all material respects and does not and will not omit to state a material fact necessary in order to make the statements made, in light of the circumstances under which they were made, not misleading; and</w:t>
      </w:r>
    </w:p>
    <w:p>
      <w:pPr>
        <w:spacing w:after="0" w:line="181" w:lineRule="exact"/>
        <w:rPr>
          <w:sz w:val="20"/>
          <w:szCs w:val="20"/>
          <w:color w:val="auto"/>
        </w:rPr>
      </w:pPr>
    </w:p>
    <w:p>
      <w:pPr>
        <w:ind w:firstLine="2762"/>
        <w:spacing w:after="0" w:line="249" w:lineRule="auto"/>
        <w:tabs>
          <w:tab w:leader="none" w:pos="3235" w:val="left"/>
        </w:tabs>
        <w:numPr>
          <w:ilvl w:val="0"/>
          <w:numId w:val="56"/>
        </w:numPr>
        <w:rPr>
          <w:rFonts w:ascii="Times New Roman" w:cs="Times New Roman" w:eastAsia="Times New Roman" w:hAnsi="Times New Roman"/>
          <w:sz w:val="20"/>
          <w:szCs w:val="20"/>
          <w:color w:val="5E5E61"/>
        </w:rPr>
      </w:pPr>
      <w:r>
        <w:rPr>
          <w:rFonts w:ascii="Times New Roman" w:cs="Times New Roman" w:eastAsia="Times New Roman" w:hAnsi="Times New Roman"/>
          <w:sz w:val="20"/>
          <w:szCs w:val="20"/>
          <w:color w:val="auto"/>
        </w:rPr>
        <w:t>a written undertaking (in the form provided by the Secretary of the corporation upon written request) that the Eligible Stockholder agrees to (I) assume all liability stemming from any legal or regulatory violation arising out of the communications with stockholders of the corporation by the Eligible Stockholder, its affiliates and associates, or their respective agents or representatives, either before or after the furnishing of the Notice of Proxy Access Nomination, or out of the facts, statements or information that the Eligible Stockholder or its Stockholder Nominee(s) has provided or will provide to the corporation or filed with the Securities and Exchange Commission, (II) indemnify and hold harmless the Corporation and each of its directors, officers, agents, employees, affiliates, control persons or other persons acting on behalf of the corporation individually against any liability, loss or damages in connection with any threatened or pending action, suit or proceeding, whether legal, administrative or investigative, against the corporation or any of its directors, officers, agents, employees, affiliates, control persons or other persons acting on behalf of the corporation arising out of any nomination of a Stockholder Nominee submitted by the Eligible Stockholder pursuant to this Section 1.13, and (III) promptly provide to the corporation such additional information as requested pursuant to this Section 1.13.</w:t>
      </w:r>
    </w:p>
    <w:p>
      <w:pPr>
        <w:spacing w:after="0" w:line="197" w:lineRule="exact"/>
        <w:rPr>
          <w:sz w:val="20"/>
          <w:szCs w:val="20"/>
          <w:color w:val="auto"/>
        </w:rPr>
      </w:pPr>
    </w:p>
    <w:p>
      <w:pPr>
        <w:ind w:right="180" w:hanging="1"/>
        <w:spacing w:after="0" w:line="276" w:lineRule="auto"/>
        <w:rPr>
          <w:sz w:val="20"/>
          <w:szCs w:val="20"/>
          <w:color w:val="auto"/>
        </w:rPr>
      </w:pPr>
      <w:r>
        <w:rPr>
          <w:rFonts w:ascii="Times New Roman" w:cs="Times New Roman" w:eastAsia="Times New Roman" w:hAnsi="Times New Roman"/>
          <w:sz w:val="19"/>
          <w:szCs w:val="19"/>
          <w:color w:val="auto"/>
        </w:rPr>
        <w:t>In connection with Section 1.13(d)(iv)(A), if any intermediary that verifies the Eligible Stockholder’s ownership of the Required Shares for the Minimum Holding Period is not the record holder of such shares, a Depository Trust Company (“DTC”) participant or an affiliate of a DTC participant, then the Eligible Stockholder will also need to provide a written statement as required by Section 1.13(d)(iv)(A) from the record holder of such shares, a DTC participant or an affiliate of a DTC participant that can verify the holdings of such intermediary.</w:t>
      </w:r>
    </w:p>
    <w:p>
      <w:pPr>
        <w:spacing w:after="0" w:line="156" w:lineRule="exact"/>
        <w:rPr>
          <w:sz w:val="20"/>
          <w:szCs w:val="20"/>
          <w:color w:val="auto"/>
        </w:rPr>
      </w:pPr>
    </w:p>
    <w:p>
      <w:pPr>
        <w:ind w:left="1720" w:hanging="416"/>
        <w:spacing w:after="0"/>
        <w:tabs>
          <w:tab w:leader="none" w:pos="1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Nominee Requirements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right="80" w:firstLine="1952"/>
        <w:spacing w:after="0" w:line="253" w:lineRule="auto"/>
        <w:tabs>
          <w:tab w:leader="none" w:pos="238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these By-Laws to the contrary, the corporation shall not be required to include, pursuant to this Section 1.13, any Stockholder Nominee in its proxy materials (and no such Stockholder Nominee may be nominated pursuant to this Section 1.13) for any annual meeting of stockholders (A) for which the Secretary of the corporation receives a notice that the Eligible Stockholder or any other stockholder of the corporation has nominated one or more persons for election to the Board of Directors pursuant to the advance notice requirements for nominees for director set forth in Section 1.10, (B) if the Eligible Stockholder who has nominated such Stockholder Nominee has engaged in or is currently engaged in, or has been or is a “participant”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5E5E61"/>
        </w:rPr>
        <w:t>18</w:t>
      </w:r>
    </w:p>
    <w:p>
      <w:pPr>
        <w:sectPr>
          <w:pgSz w:w="11900" w:h="16838" w:orient="portrait"/>
          <w:cols w:equalWidth="0" w:num="1">
            <w:col w:w="11220"/>
          </w:cols>
          <w:pgMar w:left="320" w:top="1413" w:right="359" w:bottom="1440" w:gutter="0" w:footer="0" w:header="0"/>
        </w:sectPr>
      </w:pPr>
    </w:p>
    <w:bookmarkStart w:id="41" w:name="page42"/>
    <w:bookmarkEnd w:id="41"/>
    <w:p>
      <w:pPr>
        <w:jc w:val="both"/>
        <w:spacing w:after="0" w:line="249" w:lineRule="auto"/>
        <w:rPr>
          <w:sz w:val="20"/>
          <w:szCs w:val="20"/>
          <w:color w:val="auto"/>
        </w:rPr>
      </w:pPr>
      <w:r>
        <w:rPr>
          <w:rFonts w:ascii="Times New Roman" w:cs="Times New Roman" w:eastAsia="Times New Roman" w:hAnsi="Times New Roman"/>
          <w:sz w:val="20"/>
          <w:szCs w:val="20"/>
          <w:color w:val="auto"/>
        </w:rPr>
        <w:t>another person’s “solicitation” within the meaning of Rule 14a-1(l) under the Exchange Act, in support of the election of any individual as a director at the annual meeting other than its Stockholder Nominee(s) or a nominee of the Board of Directors, (C) if such Stockholder Nominee is or becomes a party to any compensatory, payment or other financial agreement, arrangement or understanding with any person or entity other than the corporation, or is receiving or will receive any such compensation or other payment from any person or entity other than the corporation, in each case, in connection with service as a director of the corporation, (D) 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or any committee thereof, (E) who does not meet the audit committee and compensation committee independence requirements under the rules of the primary stock exchange on which the shares of common stock of the corporation are listed; (F) who is not a “non-employee director” for the purposes of Rule 16b-3 under the Exchange Act (or any successor rule), (G) whose election as a member of the Board of Directors would cause the corporation to be in violation of these By-Laws, the Certificate, the rules and listing standards of the principal U.S. exchanges upon which the common stock of the corporation is listed or over-the-counter market on which any securities of the corporation are traded, or any applicable state or federal law, rule or regulation, (H) who provides any information to the corporation or its stockholders required or requested pursuant to any provision of these By-Laws that is not accurate, truthful and complete in all material respects, or that otherwise contravenes any of the agreements, representations or undertakings made by the Stockholder Nominee in connection with the nomination, (I) who is or has been, within the past three years, an officer or director of a competitor, as defined in Section 8 of the Clayton Antitrust Act of 1914, (J) who is a defendant in or named subject of a pending criminal proceeding (excluding traffic violations) or has been convicted or has pleaded nolo contendere in such a criminal proceeding within the past ten (10) years, (K) is subject to any order of the type specified in Rule 506(d) of Regulation D promulgated under the Securities Act of 1933, as amended, (L) if such Stockholder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as determined by the Board of Directors or any committee thereof or (M) the Eligible Stockholder or applicable Stockholder Nominee fails to comply with its obligations pursuant to this Section 1.13.</w:t>
      </w:r>
    </w:p>
    <w:p>
      <w:pPr>
        <w:spacing w:after="0" w:line="187" w:lineRule="exact"/>
        <w:rPr>
          <w:sz w:val="20"/>
          <w:szCs w:val="20"/>
          <w:color w:val="auto"/>
        </w:rPr>
      </w:pPr>
    </w:p>
    <w:p>
      <w:pPr>
        <w:jc w:val="both"/>
        <w:ind w:firstLine="1952"/>
        <w:spacing w:after="0" w:line="271" w:lineRule="auto"/>
        <w:tabs>
          <w:tab w:leader="none" w:pos="2517"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Stockholder Nominee who is included in the corporation’s proxy materials for a particular annual meeting but either (A) withdraws from or becomes ineligible or unavailable for election to the Board of Directors at such annual meeting, or</w:t>
      </w:r>
    </w:p>
    <w:p>
      <w:pPr>
        <w:spacing w:after="0" w:line="1"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receive a number of “for” votes equal to at least 25% of the number of shares present and entitled to vote for the election of</w:t>
      </w:r>
    </w:p>
    <w:p>
      <w:pPr>
        <w:spacing w:after="0" w:line="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color w:val="auto"/>
        </w:rPr>
        <w:t>directors, will be ineligible for nomination or inclusion in the corporation’s proxy materials as a Stockholder Nominee pursuant to this Section 1.13 for the next two annual meetings.</w:t>
      </w:r>
    </w:p>
    <w:p>
      <w:pPr>
        <w:spacing w:after="0" w:line="161" w:lineRule="exact"/>
        <w:rPr>
          <w:sz w:val="20"/>
          <w:szCs w:val="20"/>
          <w:color w:val="auto"/>
        </w:rPr>
      </w:pPr>
    </w:p>
    <w:p>
      <w:pPr>
        <w:jc w:val="both"/>
        <w:ind w:firstLine="1952"/>
        <w:spacing w:after="0" w:line="253" w:lineRule="auto"/>
        <w:tabs>
          <w:tab w:leader="none" w:pos="243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set forth herein, if the Board of Directors or a designated committee thereof determines that any stockholder nomination was not made in accordance with the terms of this Section 1.13 or that the information provided in a Notice of Proxy Access Nomination does not satisfy the informational requirements of this Section 1.13 in any material respect, then such nomination shall not be considered at the applicable annual meeting. If neither the Board of Directors nor such committee makes a determination as to whether a nomination was made in accordance with the provisions of this Section 1.13, the presiding officer of the annual meeting shall determine whether a nomination was made in accordance with such provisions. If the presiding officer determines that any stockholder nomination was not made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5E5E61"/>
        </w:rPr>
        <w:t>19</w:t>
      </w:r>
    </w:p>
    <w:p>
      <w:pPr>
        <w:sectPr>
          <w:pgSz w:w="11900" w:h="16838" w:orient="portrait"/>
          <w:cols w:equalWidth="0" w:num="1">
            <w:col w:w="11140"/>
          </w:cols>
          <w:pgMar w:left="320" w:top="1413" w:right="439" w:bottom="1440" w:gutter="0" w:footer="0" w:header="0"/>
        </w:sectPr>
      </w:pPr>
    </w:p>
    <w:bookmarkStart w:id="42" w:name="page43"/>
    <w:bookmarkEnd w:id="42"/>
    <w:p>
      <w:pPr>
        <w:jc w:val="both"/>
        <w:ind w:right="100"/>
        <w:spacing w:after="0" w:line="250" w:lineRule="auto"/>
        <w:rPr>
          <w:sz w:val="20"/>
          <w:szCs w:val="20"/>
          <w:color w:val="auto"/>
        </w:rPr>
      </w:pPr>
      <w:r>
        <w:rPr>
          <w:rFonts w:ascii="Times New Roman" w:cs="Times New Roman" w:eastAsia="Times New Roman" w:hAnsi="Times New Roman"/>
          <w:sz w:val="20"/>
          <w:szCs w:val="20"/>
          <w:color w:val="auto"/>
        </w:rPr>
        <w:t>of this Section 1.13 or that the information provided in a stockholder’s notice does not satisfy the informational requirements of this Section 1.13 in any material respect, then such nomination shall not be considered at the applicable annual meeting. Additionally, such nomination will not be considered at the annual meeting in question if the Eligible Stockholder (or a qualified representative thereof) does not appear at the applicable annual meeting to present any nomination of the Stockholder Nominee(s) included in the corporation’s proxy materials pursuant to this Section 1.13. For purposes of this Section 1.13, to be considered a qualified representative of a stockholder, a person must be duly authorized officer, manager or partner of such stockholder or must be authorized by a writing executed by such stockholder or an electronic transmission delivered by such stockholder to act for such stockholder as its proxy at the annual meeting and such person must produce such writing or electronic transmission, or a reliable reproduction thereof, at such annual meeting. If the Board of Directors, a designated committee thereof or the presiding officer determines that a nomination was made in accordance with the terms of this Section 1.13, the presiding officer shall so declare at the applicable annual meeting and ballots shall be provided for use at such meeting with respect to such Stockholder Nominee.</w:t>
      </w:r>
    </w:p>
    <w:p>
      <w:pPr>
        <w:spacing w:after="0" w:line="200" w:lineRule="exact"/>
        <w:rPr>
          <w:sz w:val="20"/>
          <w:szCs w:val="20"/>
          <w:color w:val="auto"/>
        </w:rPr>
      </w:pPr>
    </w:p>
    <w:p>
      <w:pPr>
        <w:jc w:val="both"/>
        <w:ind w:right="100" w:firstLine="1385"/>
        <w:spacing w:after="0" w:line="261" w:lineRule="auto"/>
        <w:tabs>
          <w:tab w:leader="none" w:pos="176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1.13 provides the exclusive method for stockholders to include nominees for director in the corporation’s proxy materials. A stockholder’s compliance with the procedures set forth in this Section 1.13 will not also be deemed to constitute compliance with the procedures set forth in, or notice pursuant to, Section 1.10.</w:t>
      </w:r>
    </w:p>
    <w:p>
      <w:pPr>
        <w:spacing w:after="0" w:line="167" w:lineRule="exact"/>
        <w:rPr>
          <w:rFonts w:ascii="Times New Roman" w:cs="Times New Roman" w:eastAsia="Times New Roman" w:hAnsi="Times New Roman"/>
          <w:sz w:val="20"/>
          <w:szCs w:val="20"/>
          <w:color w:val="auto"/>
        </w:rPr>
      </w:pPr>
    </w:p>
    <w:p>
      <w:pPr>
        <w:ind w:right="120" w:firstLine="1385"/>
        <w:spacing w:after="0" w:line="283" w:lineRule="auto"/>
        <w:tabs>
          <w:tab w:leader="none" w:pos="18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corporation may solicit against, and include in the proxy statement its own statement relating to, any Stockholder Nominee.</w:t>
      </w:r>
    </w:p>
    <w:p>
      <w:pPr>
        <w:spacing w:after="0" w:line="159" w:lineRule="exact"/>
        <w:rPr>
          <w:rFonts w:ascii="Times New Roman" w:cs="Times New Roman" w:eastAsia="Times New Roman" w:hAnsi="Times New Roman"/>
          <w:sz w:val="20"/>
          <w:szCs w:val="20"/>
          <w:color w:val="auto"/>
        </w:rPr>
      </w:pPr>
    </w:p>
    <w:p>
      <w:pPr>
        <w:jc w:val="both"/>
        <w:ind w:firstLine="1385"/>
        <w:spacing w:after="0" w:line="251" w:lineRule="auto"/>
        <w:tabs>
          <w:tab w:leader="none" w:pos="182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1.13,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the corporation, any Eligible Holder, Stockholder Nominee and any other person so long as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Section 1.13 and, if not so nominated, shall direct and declare at such annual meeting that such Stockholder Nominee shall not be considered.</w:t>
      </w:r>
    </w:p>
    <w:p>
      <w:pPr>
        <w:spacing w:after="0" w:line="1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2 - Directors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The business and affairs of the corporation shall be managed by or under the direction of a Board of Directors, who may exercise all of the powers of the corporation except as otherwise provided by law or the Certificate of Incorporation. In the event of a vacancy in the Board of Directors, the remaining directors, except as otherwise provided by law, may exercise the powers of the full Board until the vacancy is filled.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Number; Election and Qualification</w:t>
      </w:r>
      <w:r>
        <w:rPr>
          <w:rFonts w:ascii="Times New Roman" w:cs="Times New Roman" w:eastAsia="Times New Roman" w:hAnsi="Times New Roman"/>
          <w:sz w:val="20"/>
          <w:szCs w:val="20"/>
          <w:color w:val="auto"/>
        </w:rPr>
        <w:t>. The number of directors which shall constitute the whole Board of Directors shall be determined from time to time by resolution of the Board of Directors, but in no event shall be less than three. The directors shall be elected at the annual meeting of stockholders by such stockholders as have the right to vote on such election. Directors need not be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20</w:t>
      </w:r>
    </w:p>
    <w:p>
      <w:pPr>
        <w:sectPr>
          <w:pgSz w:w="11900" w:h="16838" w:orient="portrait"/>
          <w:cols w:equalWidth="0" w:num="1">
            <w:col w:w="11240"/>
          </w:cols>
          <w:pgMar w:left="320" w:top="1413" w:right="339" w:bottom="1440" w:gutter="0" w:footer="0" w:header="0"/>
        </w:sectPr>
      </w:pPr>
    </w:p>
    <w:bookmarkStart w:id="43" w:name="page44"/>
    <w:bookmarkEnd w:id="4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Terms of Office</w:t>
      </w:r>
      <w:r>
        <w:rPr>
          <w:rFonts w:ascii="Times New Roman" w:cs="Times New Roman" w:eastAsia="Times New Roman" w:hAnsi="Times New Roman"/>
          <w:sz w:val="20"/>
          <w:szCs w:val="20"/>
          <w:color w:val="auto"/>
        </w:rPr>
        <w:t>. Each director shall be elected for a term expiring at the next succeeding annual meeting. The term of each director shall be subject to the election and qualification of his or her successor and to his or her earlier death, resignation or removal.</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Any vacancy in the Board of Directors, however occurring, or any newly created directorship resulting from an increase in the authorized number of directors, shall be filled only by a vote of a majority of the directors then in office, although less than a quorum, or by a sole remaining director. A director elected to fill a vacancy shall be elected for the unexpired term of his or her predecessor in office.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director may resign by delivering a resignation in writing or by electronic transmission to the Chief Executive Officer, Chair of the Board or Secretary; provided, however, that if such notice is given by electronic transmission, such electronic transmission must either (a) set forth or be submitted with information from which it can be determined that the electronic transmission was authorized by the director or (b) within two (2) business days be followed by an oral confirmation between the director and any of the Chief Executive Officer, Chair of the Board or Secretary. Such resignation shall be effective upon receipt unless it is specified to be effective at some other time or upon the happening of some other event.</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Regular Meetings</w:t>
      </w:r>
      <w:r>
        <w:rPr>
          <w:rFonts w:ascii="Times New Roman" w:cs="Times New Roman" w:eastAsia="Times New Roman" w:hAnsi="Times New Roman"/>
          <w:sz w:val="20"/>
          <w:szCs w:val="20"/>
          <w:color w:val="auto"/>
        </w:rPr>
        <w:t>. Regular meetings of the Board of Directors may be held without notice at such time and place, either within or without the State of Delaware,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if any, as the annual meeting of stockholders.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Board of Directors may be held at any time and place, if any, within or without the State of Delaware, designated in a call by the Chair of the Board, Chief Executive Officer, a number of directors constituting at least one-third (1/3) of the total number of directors then in office, or by one director in the event that there is only a single director in office.</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Notice of Special Meetings</w:t>
      </w:r>
      <w:r>
        <w:rPr>
          <w:rFonts w:ascii="Times New Roman" w:cs="Times New Roman" w:eastAsia="Times New Roman" w:hAnsi="Times New Roman"/>
          <w:sz w:val="20"/>
          <w:szCs w:val="20"/>
          <w:color w:val="auto"/>
        </w:rPr>
        <w:t>. Notice of any special meeting of directors shall be given to each director by the Secretary or by the officer or one of the directors calling the meeting. Notice shall be duly given to each director (i) by giving notice to such director in person or by telephone at least 24 hours in advance of the meeting, (ii) by sending an electronic transmission, or delivering written notice by hand, to such director’s last known business, home or electronic transmission address at least 24 hours in advance of the meeting, or (iii) by mailing written notice to such director’s last known business or home address at least 72 hours in advance of the meeting. A notice or waiver of notice of a meeting of the Board of Directors need not specify the purposes of the meeting.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Meetings by Remote Communication</w:t>
      </w:r>
      <w:r>
        <w:rPr>
          <w:rFonts w:ascii="Times New Roman" w:cs="Times New Roman" w:eastAsia="Times New Roman" w:hAnsi="Times New Roman"/>
          <w:sz w:val="20"/>
          <w:szCs w:val="20"/>
          <w:color w:val="auto"/>
        </w:rPr>
        <w:t>. Directors or any members of any committee designated by the directors may participate in a meeting of the Board of Directors or such committee by means of remote communication by means of which all persons participating in the meeting can hear each other (including through the use of assistive technology), and participation by such means shall constitute presence in person at such meeting.</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A majority of the directors at any time in office shall constitute a quorum for the transaction of business. In the event one or more of the directors shall be disqualified to vote at any meeting, then the required quorum shall be reduced by one for each such director so disqualified;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21</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20"/>
          <w:szCs w:val="20"/>
          <w:color w:val="auto"/>
        </w:rPr>
        <w:t>provided, however, that in no case shall less than one-third (1/3) of the number so fixed in accordance with the Certificate of Incorporation constitute a quorum. In the absence of a quorum at any such meeting, a majority of the directors present may adjourn the meeting from time to time without further notice other than announcement at the meeting, until a quorum shall be present.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Action at Meeting</w:t>
      </w:r>
      <w:r>
        <w:rPr>
          <w:rFonts w:ascii="Times New Roman" w:cs="Times New Roman" w:eastAsia="Times New Roman" w:hAnsi="Times New Roman"/>
          <w:sz w:val="20"/>
          <w:szCs w:val="20"/>
          <w:color w:val="auto"/>
        </w:rPr>
        <w:t>. At any meeting of the Board of Directors at which a quorum is present, the vote of a majority of those present shall be sufficient to take any action, unless a different vote is specified by law, the Certificate of Incorporation or these By-Laws.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Action by Consent</w:t>
      </w:r>
      <w:r>
        <w:rPr>
          <w:rFonts w:ascii="Times New Roman" w:cs="Times New Roman" w:eastAsia="Times New Roman" w:hAnsi="Times New Roman"/>
          <w:sz w:val="20"/>
          <w:szCs w:val="20"/>
          <w:color w:val="auto"/>
        </w:rPr>
        <w:t>. Any action required or permitted to be taken at any meeting of the Board of Directors or of any committee of the Board of Directors may be taken without a meeting, if all members of the Board or committee, as the case may be, consent to the action in writing or by electronic transmission, and the writing or writings or electronic transmission or transmissions are filed with the minutes of proceedings of the Board or committee.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Directors of the corporation may be removed with or without cause by the affirmative vote of the holders of a majority in voting power of the shares of the capital stock of the corporation issued and outstanding and entitled to vote at an election of directors.</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Committees</w:t>
      </w:r>
      <w:r>
        <w:rPr>
          <w:rFonts w:ascii="Times New Roman" w:cs="Times New Roman" w:eastAsia="Times New Roman" w:hAnsi="Times New Roman"/>
          <w:sz w:val="20"/>
          <w:szCs w:val="20"/>
          <w:color w:val="auto"/>
        </w:rPr>
        <w:t>.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and subject to the provisions of the General Corporation Law of the State of Delaware, shall have and may exercise all the powers and authority of the Board of Directors in the management of the business and affairs of the corporation and may authorize the seal of the corporation to be affixed to all papers which may require it.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Compensation of Directors</w:t>
      </w:r>
      <w:r>
        <w:rPr>
          <w:rFonts w:ascii="Times New Roman" w:cs="Times New Roman" w:eastAsia="Times New Roman" w:hAnsi="Times New Roman"/>
          <w:sz w:val="20"/>
          <w:szCs w:val="20"/>
          <w:color w:val="auto"/>
        </w:rPr>
        <w:t>. Directors may be paid such compensation for their services and such reimbursement for expenses of attendance at meetings as the Board of Directors may from time to time determine. No such payment shall preclude any director from serving the corporation or any of its parent or subsidiary corporations in any other capacity and receiving compensation for such service.</w:t>
      </w:r>
    </w:p>
    <w:p>
      <w:pPr>
        <w:spacing w:after="0" w:line="1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3 -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Enumeration</w:t>
      </w:r>
      <w:r>
        <w:rPr>
          <w:rFonts w:ascii="Times New Roman" w:cs="Times New Roman" w:eastAsia="Times New Roman" w:hAnsi="Times New Roman"/>
          <w:sz w:val="20"/>
          <w:szCs w:val="20"/>
          <w:color w:val="auto"/>
        </w:rPr>
        <w:t>. The officers of the corporation shall consist of a President, a Secretary, a Treasurer and such other officers with such other titles as the Board of Directors shall determine, including a Chair of the Board, a Vice Chair of the Board, and one or more Vice Presidents, Assistant Treasurers and Assistant Secretaries. The Board of Directors may appoint such other officers as it may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22</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Election</w:t>
      </w:r>
      <w:r>
        <w:rPr>
          <w:rFonts w:ascii="Times New Roman" w:cs="Times New Roman" w:eastAsia="Times New Roman" w:hAnsi="Times New Roman"/>
          <w:sz w:val="20"/>
          <w:szCs w:val="20"/>
          <w:color w:val="auto"/>
        </w:rPr>
        <w:t>. The President, Treasurer and Secretary shall be elected annually by the Board of Directors at its first meeting following the annual meeting of stockholders. Other officers may be appointed by the Board of Directors at such meeting or at any other meeting.</w:t>
      </w:r>
    </w:p>
    <w:p>
      <w:pPr>
        <w:spacing w:after="0" w:line="1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Qualification</w:t>
      </w:r>
      <w:r>
        <w:rPr>
          <w:rFonts w:ascii="Times New Roman" w:cs="Times New Roman" w:eastAsia="Times New Roman" w:hAnsi="Times New Roman"/>
          <w:sz w:val="19"/>
          <w:szCs w:val="19"/>
          <w:color w:val="auto"/>
        </w:rPr>
        <w:t>. No officer need be a stockholder. Any two or more offices may be held by the same person.</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Tenure</w:t>
      </w:r>
      <w:r>
        <w:rPr>
          <w:rFonts w:ascii="Times New Roman" w:cs="Times New Roman" w:eastAsia="Times New Roman" w:hAnsi="Times New Roman"/>
          <w:sz w:val="20"/>
          <w:szCs w:val="20"/>
          <w:color w:val="auto"/>
        </w:rPr>
        <w:t>. Except as otherwise provided by law, by the Certificate of Incorporation or by these By-Laws, each officer shall hold office until his or her successor is elected and qualified, unless a different term is specified in the vote choosing or appointing such officer, or until such officer’s earlier death, resignation or removal.</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Resignation and Removal</w:t>
      </w:r>
      <w:r>
        <w:rPr>
          <w:rFonts w:ascii="Times New Roman" w:cs="Times New Roman" w:eastAsia="Times New Roman" w:hAnsi="Times New Roman"/>
          <w:sz w:val="20"/>
          <w:szCs w:val="20"/>
          <w:color w:val="auto"/>
        </w:rPr>
        <w:t>. Any officer may resign by delivering a resignation in writing or by electronic transmission to the corporation at its principal office or to the Chief Executive Officer, Chair of the Board or Secretary; provided, however, that if such notice is given by electronic transmission, such electronic transmission must either (a) set forth or be submitted with information from which it can be determined that the electronic transmission was authorized by the officer or (b) within two (2) business days be followed by an oral confirmation between the officer and any of the Chief Executive Officer, Chair of the Board or Secretary. Such resignation shall be effective upon receipt unless it is specified to be effective at some other time or upon the happening of some other event.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officer may be removed at any time, with or without cause, by vote of the Board of Directors.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in a duly authorized written agreement with the corporation.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The Board of Directors may fill any vacancy occurring in any office for any reason and may, in its discretion, leave unfilled for such period as it may determine any offices other than those of President, Treasurer and Secretary. Each such successor shall hold office for the unexpired term of his or her predecessor and until his or her successor is elected and qualified, or until his or her earlier death, resignation or removal.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Chair of the Board and Vice Chair of the Board</w:t>
      </w:r>
      <w:r>
        <w:rPr>
          <w:rFonts w:ascii="Times New Roman" w:cs="Times New Roman" w:eastAsia="Times New Roman" w:hAnsi="Times New Roman"/>
          <w:sz w:val="20"/>
          <w:szCs w:val="20"/>
          <w:color w:val="auto"/>
        </w:rPr>
        <w:t>. The Board of Directors may appoint a Chair of the Board. If the Board of Directors appoints a Chair of the Board, the Chair shall perform such duties and possess such powers as are assigned to him or her by the Board of Directors. Unless otherwise provided by the Board of Directors, the Chair shall preside at all meetings of the stockholders and at all meetings of the Board of Directors. If the Board of Directors appoints a Vice Chair of the Board, the Vice Chair shall, in the absence or disability of the Chair of the Board, perform the duties and exercise the powers of the Chair of the Board and shall perform such other duties and possess such other powers as may from time to time be vested in him or her by the Board of Directors.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President</w:t>
      </w:r>
      <w:r>
        <w:rPr>
          <w:rFonts w:ascii="Times New Roman" w:cs="Times New Roman" w:eastAsia="Times New Roman" w:hAnsi="Times New Roman"/>
          <w:sz w:val="20"/>
          <w:szCs w:val="20"/>
          <w:color w:val="auto"/>
        </w:rPr>
        <w:t>. The President shall, subject to the direction of the Board of Directors, have general charge and supervision of the business of the corporation. Unless the Board of Directors has designated the Chair of the Board or another officer as Chief Executive Officer, the President shall be the Chief Executive Officer of the corporation. The President shall perform such other duties and shall have such other powers as the Board of Directors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23</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 xml:space="preserve">3.9 </w:t>
      </w:r>
      <w:r>
        <w:rPr>
          <w:rFonts w:ascii="Times New Roman" w:cs="Times New Roman" w:eastAsia="Times New Roman" w:hAnsi="Times New Roman"/>
          <w:sz w:val="19"/>
          <w:szCs w:val="19"/>
          <w:u w:val="single" w:color="auto"/>
          <w:color w:val="auto"/>
        </w:rPr>
        <w:t>Vice Presidents</w:t>
      </w:r>
      <w:r>
        <w:rPr>
          <w:rFonts w:ascii="Times New Roman" w:cs="Times New Roman" w:eastAsia="Times New Roman" w:hAnsi="Times New Roman"/>
          <w:sz w:val="19"/>
          <w:szCs w:val="19"/>
          <w:color w:val="auto"/>
        </w:rPr>
        <w:t>. Any Vice President shall perform such duties and possess such powers as the Board of Directors or the President may from time to time prescribe. In the event of the absence, inability or refusal to act of the President, the Vice President (or if there shall be more than one, the Vice Presidents in the order determined by the Board of Directors) shall perform the duties of the President and when so performing shall have all the powers of and be subject to all the restrictions upon the President. The Board of Directors may assign to any Vice President the title of Executive Vice President, Senior Vice President or any other title selected by the Board of Directors.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Secretary and Assistant Secretaries</w:t>
      </w:r>
      <w:r>
        <w:rPr>
          <w:rFonts w:ascii="Times New Roman" w:cs="Times New Roman" w:eastAsia="Times New Roman" w:hAnsi="Times New Roman"/>
          <w:sz w:val="20"/>
          <w:szCs w:val="20"/>
          <w:color w:val="auto"/>
        </w:rPr>
        <w:t>. The Secretary shall perform such duties and shall have such powers as the Board of Directors or the President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of Directors, to attend all meetings of stockholders and the Board of Directors and keep a record of the proceedings, to maintain a stock ledger and prepare lists of stockholders and their addresses as required, to be custodian of corporate records and the corporate seal and to affix and attest to the same on documents.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Assistant Secretary shall perform such duties and possess such powers as the Board of Directors, the President or the Secretary may from time to time prescribe.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the absence of the Secretary or any Assistant Secretary at any meeting of stockholders or directors, the person presiding at the meeting shall designate a temporary secretary to keep a record of the meeting.</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Treasurer and Assistant Treasurers</w:t>
      </w:r>
      <w:r>
        <w:rPr>
          <w:rFonts w:ascii="Times New Roman" w:cs="Times New Roman" w:eastAsia="Times New Roman" w:hAnsi="Times New Roman"/>
          <w:sz w:val="20"/>
          <w:szCs w:val="20"/>
          <w:color w:val="auto"/>
        </w:rPr>
        <w:t>. The Treasurer shall perform such duties and shall have such powers as may from time to time be assigned to him or her by the Board of Directors or the President.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of Directors, to make proper accounts of such funds, and to render as required by the Board of Directors statements of all such transactions and of the financial condition of the corporation.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Assistant Treasurers shall perform such duties and possess such powers as the Board of Directors, the President or the Treasurer may from time to time prescribe.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Salaries</w:t>
      </w:r>
      <w:r>
        <w:rPr>
          <w:rFonts w:ascii="Times New Roman" w:cs="Times New Roman" w:eastAsia="Times New Roman" w:hAnsi="Times New Roman"/>
          <w:sz w:val="20"/>
          <w:szCs w:val="20"/>
          <w:color w:val="auto"/>
        </w:rPr>
        <w:t>. Officers of the corporation shall be entitled to such salaries, compensation or reimbursement as shall be fixed or allowed from time to time by the Board of Directors.</w:t>
      </w:r>
    </w:p>
    <w:p>
      <w:pPr>
        <w:spacing w:after="0" w:line="1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4 - 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Issuance of Stock</w:t>
      </w:r>
      <w:r>
        <w:rPr>
          <w:rFonts w:ascii="Times New Roman" w:cs="Times New Roman" w:eastAsia="Times New Roman" w:hAnsi="Times New Roman"/>
          <w:sz w:val="20"/>
          <w:szCs w:val="20"/>
          <w:color w:val="auto"/>
        </w:rPr>
        <w:t>. Unless otherwise voted by the stockholders and subject to the provisions of the Certificate of Incorporation, the whole or any part of any unissued balance of the authorized capital stock of the corporation or the whole or any part of any unissued balance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24</w:t>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83" w:lineRule="auto"/>
        <w:rPr>
          <w:sz w:val="20"/>
          <w:szCs w:val="20"/>
          <w:color w:val="auto"/>
        </w:rPr>
      </w:pPr>
      <w:r>
        <w:rPr>
          <w:rFonts w:ascii="Times New Roman" w:cs="Times New Roman" w:eastAsia="Times New Roman" w:hAnsi="Times New Roman"/>
          <w:sz w:val="20"/>
          <w:szCs w:val="20"/>
          <w:color w:val="auto"/>
        </w:rPr>
        <w:t>authorized capital stock of the corporation held in its treasury may be issued, sold, transferred or otherwise disposed of by vote of the Board of Directors in such manner, for such consideration and on such terms as the Board of Directors may determine.</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Certificates of Stock; Uncertificated Shares</w:t>
      </w:r>
      <w:r>
        <w:rPr>
          <w:rFonts w:ascii="Times New Roman" w:cs="Times New Roman" w:eastAsia="Times New Roman" w:hAnsi="Times New Roman"/>
          <w:sz w:val="20"/>
          <w:szCs w:val="20"/>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General Corporation Law of the State of Delaware.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202(a) or 218(a) of the General Corporation Law of the State of Delaware or, with respect to Section 151 of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Transfers</w:t>
      </w:r>
      <w:r>
        <w:rPr>
          <w:rFonts w:ascii="Times New Roman" w:cs="Times New Roman" w:eastAsia="Times New Roman" w:hAnsi="Times New Roman"/>
          <w:sz w:val="20"/>
          <w:szCs w:val="20"/>
          <w:color w:val="auto"/>
        </w:rPr>
        <w:t>. Except as otherwise established by rules and regulations adopted by the Board of Directors, and subject to applicable law, shares of stock may be transferred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Uncertificated shares may be transferred by delivery of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25</w:t>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20"/>
          <w:szCs w:val="20"/>
          <w:color w:val="auto"/>
        </w:rPr>
        <w:t>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Lost, Stolen or Destroyed Certificates</w:t>
      </w:r>
      <w:r>
        <w:rPr>
          <w:rFonts w:ascii="Times New Roman" w:cs="Times New Roman" w:eastAsia="Times New Roman" w:hAnsi="Times New Roman"/>
          <w:sz w:val="20"/>
          <w:szCs w:val="20"/>
          <w:color w:val="auto"/>
        </w:rPr>
        <w:t>. The corporation may issue a new certificate of stock in place of any previously issued certificate alleged to have been lost, stolen or destroyed, upon such terms and conditions as the corporation may prescribe, including the presentation of reasonable evidence of such loss, theft or destruction and the giving of such indemnity as the corporation may require for the protection of the corporation or any transfer agent or registrar.</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Record Date</w:t>
      </w:r>
      <w:r>
        <w:rPr>
          <w:rFonts w:ascii="Times New Roman" w:cs="Times New Roman" w:eastAsia="Times New Roman" w:hAnsi="Times New Roman"/>
          <w:sz w:val="20"/>
          <w:szCs w:val="20"/>
          <w:color w:val="auto"/>
        </w:rPr>
        <w:t>. The Board of Directors may fix in advance a date as a record date for the determination of the stockholders entitled to notice of or to vote at any meeting of stockholders, or entitled to receive payment of any dividend or other distribution or allotment of any rights in respect of any change, conversion or exchange of stock, or for the purpose of any other lawful action. Such record date shall not be more than 60 nor less than ten days before the date of such meeting, nor more than 60 days prior to any other action to which such record date relates.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The record date for determining stockholders for any other purpose shall be at the close of business on the day on which the Board of Directors adopts the resolution relating to such purpose.</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5 - General Provisions</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Except as from time to time otherwise designated by the Board of Directors, the fiscal year of the corporation shall begin on the first day of January in each year and end on the last day of December in each year.</w:t>
      </w:r>
    </w:p>
    <w:p>
      <w:pPr>
        <w:spacing w:after="0" w:line="14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Corporate Seal</w:t>
      </w:r>
      <w:r>
        <w:rPr>
          <w:rFonts w:ascii="Times New Roman" w:cs="Times New Roman" w:eastAsia="Times New Roman" w:hAnsi="Times New Roman"/>
          <w:sz w:val="19"/>
          <w:szCs w:val="19"/>
          <w:color w:val="auto"/>
        </w:rPr>
        <w:t>. The corporate seal shall be in such form as shall be approved by the Board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Waiver of Notice</w:t>
      </w:r>
      <w:r>
        <w:rPr>
          <w:rFonts w:ascii="Times New Roman" w:cs="Times New Roman" w:eastAsia="Times New Roman" w:hAnsi="Times New Roman"/>
          <w:sz w:val="20"/>
          <w:szCs w:val="20"/>
          <w:color w:val="auto"/>
        </w:rPr>
        <w:t>. Whenever any notice whatsoever is required to be given by law, by the Certificate of Incorporation or by these By-Laws, a waiver of such notice either in writing or by electronic transmission given by the person entitled to such notice or such person’s duly authorized attorney, whether before, at or after the time stated in such waiver, shall be deemed equivalent to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Voting of Securities</w:t>
      </w:r>
      <w:r>
        <w:rPr>
          <w:rFonts w:ascii="Times New Roman" w:cs="Times New Roman" w:eastAsia="Times New Roman" w:hAnsi="Times New Roman"/>
          <w:sz w:val="20"/>
          <w:szCs w:val="20"/>
          <w:color w:val="auto"/>
        </w:rPr>
        <w:t>. Except as the directors may otherwise designate, the Chief Executive Officer or Treasurer may waive notice of, and act as, or appoint any person or persons to act as, proxy or attorney-in-fact for this corporation (with or without power of substitution) at any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26</w:t>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83" w:lineRule="auto"/>
        <w:rPr>
          <w:sz w:val="20"/>
          <w:szCs w:val="20"/>
          <w:color w:val="auto"/>
        </w:rPr>
      </w:pPr>
      <w:r>
        <w:rPr>
          <w:rFonts w:ascii="Times New Roman" w:cs="Times New Roman" w:eastAsia="Times New Roman" w:hAnsi="Times New Roman"/>
          <w:sz w:val="20"/>
          <w:szCs w:val="20"/>
          <w:color w:val="auto"/>
        </w:rPr>
        <w:t>stockholders, shareholders, members, partners or otherwise of any other corporation or organization or entity, the securities of which may be held by this corporation.</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Evidence of Authority</w:t>
      </w:r>
      <w:r>
        <w:rPr>
          <w:rFonts w:ascii="Times New Roman" w:cs="Times New Roman" w:eastAsia="Times New Roman" w:hAnsi="Times New Roman"/>
          <w:sz w:val="20"/>
          <w:szCs w:val="20"/>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All references in these By-Laws to the Certificate of Incorporation shall be deemed to refer to the Certificate of Incorporation of the corporation, as amended and/or restated and in effect from time to time.</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Transactions with Interested Parties</w:t>
      </w:r>
      <w:r>
        <w:rPr>
          <w:rFonts w:ascii="Times New Roman" w:cs="Times New Roman" w:eastAsia="Times New Roman" w:hAnsi="Times New Roman"/>
          <w:sz w:val="20"/>
          <w:szCs w:val="20"/>
          <w:color w:val="auto"/>
        </w:rPr>
        <w:t>. No contract or transaction between the corporation and one or more of the directors or officers, or between the corporation and any other corporation, partnership, association or other organization in which one or more of the directors or officers are directors or officers, or have a financial interest, shall be void or voidable solely for this reason, or solely because the director or officer is present at or participates in the meeting of the Board of Directors or a committee of the Board of Directors which authorizes the contract or transaction or solely because his, her or their votes are counted for such purpose, if:</w:t>
      </w:r>
    </w:p>
    <w:p>
      <w:pPr>
        <w:spacing w:after="0" w:line="173" w:lineRule="exact"/>
        <w:rPr>
          <w:sz w:val="20"/>
          <w:szCs w:val="20"/>
          <w:color w:val="auto"/>
        </w:rPr>
      </w:pPr>
    </w:p>
    <w:p>
      <w:pPr>
        <w:jc w:val="both"/>
        <w:ind w:firstLine="1304"/>
        <w:spacing w:after="0" w:line="261" w:lineRule="auto"/>
        <w:tabs>
          <w:tab w:leader="none" w:pos="171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2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7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contract or transaction is fair as to the corporation as of the time it is authorized, approved or ratified, by the Board of Directors, a committee of the Board of Directors, or the stockholders.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Common or interested directors may be counted in determining the presence of a quorum at a meeting of the Board of Directors or of a committee which authorizes the contract or transaction.</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determination that any provision of these By-Laws is for any reason inapplicable, illegal or ineffective shall not affect or invalidate any other provision of these By-Laws.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All pronouns used in these By-Laws shall be deemed to refer to the masculine, feminine or neuter, singular or plural, as the identity of the person or persons may require.</w:t>
      </w:r>
    </w:p>
    <w:p>
      <w:pPr>
        <w:spacing w:after="0" w:line="1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6 - Amendments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By the Board of Directors</w:t>
      </w:r>
      <w:r>
        <w:rPr>
          <w:rFonts w:ascii="Times New Roman" w:cs="Times New Roman" w:eastAsia="Times New Roman" w:hAnsi="Times New Roman"/>
          <w:sz w:val="20"/>
          <w:szCs w:val="20"/>
          <w:color w:val="auto"/>
        </w:rPr>
        <w:t>. These By-Laws may be altered, amended or repealed or new by-laws may be adopted by the affirmative vote of a majority of the directors present at any regular or special meeting of the Board of Directors at which a quorum is present.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By the Stockholders</w:t>
      </w:r>
      <w:r>
        <w:rPr>
          <w:rFonts w:ascii="Times New Roman" w:cs="Times New Roman" w:eastAsia="Times New Roman" w:hAnsi="Times New Roman"/>
          <w:sz w:val="20"/>
          <w:szCs w:val="20"/>
          <w:color w:val="auto"/>
        </w:rPr>
        <w:t>. Except as otherwise provided in Section 6.3, these By-Laws may be altered, amended or repealed or new by-laws may be adopted by the affirmative vote of the holders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27</w:t>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20"/>
          <w:szCs w:val="20"/>
          <w:color w:val="auto"/>
        </w:rPr>
        <w:t>majority in voting power of the shares of the capital stock of the corporation issued and outstanding and entitled to vote at any regular or special meeting of stockholders, provided notice of such alteration, amendment, repeal or adoption of new by-laws shall have been stated in the notice of such regular or special meeting.</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Certain Provisions</w:t>
      </w:r>
      <w:r>
        <w:rPr>
          <w:rFonts w:ascii="Times New Roman" w:cs="Times New Roman" w:eastAsia="Times New Roman" w:hAnsi="Times New Roman"/>
          <w:sz w:val="20"/>
          <w:szCs w:val="20"/>
          <w:color w:val="auto"/>
        </w:rPr>
        <w:t>. Notwithstanding any other provision of law, the Certificate of Incorporation or these By-Laws, and notwithstanding the fact that a lesser percentage may be specified by law, the affirmative vote of the holders of at least a majority of the voting power of the shares of the capital stock of the corporation issued and outstanding and entitled to vote on the matter shall be required in order for stockholders to amend or repeal, or to adopt any provision inconsistent with Section 1.3, Section 1.10, Section 1.11, Section 1.12, Article 2 or Article 6 of these By-Laws.</w:t>
      </w:r>
    </w:p>
    <w:p>
      <w:pPr>
        <w:spacing w:after="0" w:line="1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u w:val="single" w:color="auto"/>
          <w:color w:val="auto"/>
        </w:rPr>
        <w:t>ARTICLE 7 - Interpretation and Determinations</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7.1 The Board of Directors or any committee thereof shall have the exclusive power and authority to interpret the provisions of these By-Laws and make all determinations deemed necessary or advisable in connection therewith, except to the extent otherwise expressly provided in these By-Laws.</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7.2 The Board of Directors, any committee thereof, Chair of the Board or Secretary may, if the facts warrant, determine that a notice received by the corporation relating to a nomination proposed to be made or an item of business proposed to be introduced at a meeting of stockholders does not satisfy the requirements of Section 1.10, or Section 1.11 (including if the stockholder does not provide any required applicable updates to the corporation). The Board of Directors, any committee thereof or chair of the meeting shall have the power and duty to determine whether a nomination or any other business brought before a meeting of stockholders was made in accordance with the procedures set forth in Section 1.10 and Section 1.11, and to determine that such defective nomination or proposal shall be disregarded, notwithstanding that proxies in respect of such matters may have been received.</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7.3 Any and all such actions, interpretations and determinations that are done or made by the Board of Directors, any committee thereof, the Chair of the Board, any chair of a meeting or the Secretary in good faith pursuant to this Section 7.3 shall be final, conclusive and binding on the corporation, the stockholders and all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28</w:t>
      </w:r>
    </w:p>
    <w:p>
      <w:pPr>
        <w:sectPr>
          <w:pgSz w:w="11900" w:h="16838" w:orient="portrait"/>
          <w:cols w:equalWidth="0" w:num="1">
            <w:col w:w="11240"/>
          </w:cols>
          <w:pgMar w:left="320" w:top="141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5E5E61"/>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AKAMAI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2026 EMPLOYEE STOCK PURCHASE PLAN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The purpose of the Akamai Technologies, Inc. 2026 Employee Stock Purchase Plan (the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is to provide eligible employees of Akamai Technologies, Inc.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and each Designated Company (as defined in Section 11) with opportunities to purchase shares of Stock (as defined in Section 11). An aggregate of 9,000,000 shares of Stock have been approved and reserved for this purpose.</w:t>
      </w:r>
    </w:p>
    <w:p>
      <w:pPr>
        <w:spacing w:after="0" w:line="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The Plan includes two components: a Code Section 423 Component (the “</w:t>
      </w:r>
      <w:r>
        <w:rPr>
          <w:rFonts w:ascii="Times New Roman" w:cs="Times New Roman" w:eastAsia="Times New Roman" w:hAnsi="Times New Roman"/>
          <w:sz w:val="20"/>
          <w:szCs w:val="20"/>
          <w:i w:val="1"/>
          <w:iCs w:val="1"/>
          <w:color w:val="auto"/>
        </w:rPr>
        <w:t>423 Component</w:t>
      </w:r>
      <w:r>
        <w:rPr>
          <w:rFonts w:ascii="Times New Roman" w:cs="Times New Roman" w:eastAsia="Times New Roman" w:hAnsi="Times New Roman"/>
          <w:sz w:val="20"/>
          <w:szCs w:val="20"/>
          <w:color w:val="auto"/>
        </w:rPr>
        <w:t>”) and a non-Code Section 423 Component (the “</w:t>
      </w:r>
      <w:r>
        <w:rPr>
          <w:rFonts w:ascii="Times New Roman" w:cs="Times New Roman" w:eastAsia="Times New Roman" w:hAnsi="Times New Roman"/>
          <w:sz w:val="20"/>
          <w:szCs w:val="20"/>
          <w:i w:val="1"/>
          <w:iCs w:val="1"/>
          <w:color w:val="auto"/>
        </w:rPr>
        <w:t>Non-423 Component</w:t>
      </w:r>
      <w:r>
        <w:rPr>
          <w:rFonts w:ascii="Times New Roman" w:cs="Times New Roman" w:eastAsia="Times New Roman" w:hAnsi="Times New Roman"/>
          <w:sz w:val="20"/>
          <w:szCs w:val="20"/>
          <w:color w:val="auto"/>
        </w:rPr>
        <w:t>”). It is intended for the 423 Component to constitute an “employee stock purchase plan” within the meaning of Section 423(b) of the U.S. Internal Revenue Code of 1986, as amended (the “</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(as further described in Section 13). Except as otherwise provided herein or by the Administrator, the Non-423 Component will operate and be administered in the same manner as the 423 Component.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w:t>
      </w:r>
    </w:p>
    <w:p>
      <w:pPr>
        <w:spacing w:after="0" w:line="188" w:lineRule="exact"/>
        <w:rPr>
          <w:sz w:val="20"/>
          <w:szCs w:val="20"/>
          <w:color w:val="auto"/>
        </w:rPr>
      </w:pPr>
    </w:p>
    <w:p>
      <w:pPr>
        <w:jc w:val="both"/>
        <w:ind w:firstLine="656"/>
        <w:spacing w:after="0" w:line="249" w:lineRule="auto"/>
        <w:tabs>
          <w:tab w:leader="none" w:pos="108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will be administered by the person or persons (the “</w:t>
      </w:r>
      <w:r>
        <w:rPr>
          <w:rFonts w:ascii="Times New Roman" w:cs="Times New Roman" w:eastAsia="Times New Roman" w:hAnsi="Times New Roman"/>
          <w:sz w:val="20"/>
          <w:szCs w:val="20"/>
          <w:i w:val="1"/>
          <w:iCs w:val="1"/>
          <w:color w:val="auto"/>
        </w:rPr>
        <w:t>Administrator</w:t>
      </w:r>
      <w:r>
        <w:rPr>
          <w:rFonts w:ascii="Times New Roman" w:cs="Times New Roman" w:eastAsia="Times New Roman" w:hAnsi="Times New Roman"/>
          <w:sz w:val="20"/>
          <w:szCs w:val="20"/>
          <w:color w:val="auto"/>
        </w:rPr>
        <w:t>”) appointed by the Company’s Board of Directors (the “</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xml:space="preserve">”)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(as defined in Section 11) (which need not be identical); (iv) select Designated Companies; (v) impose a mandatory holding period pursuant to which Participants (as defined in Section 11) may not dispose of or transfer shares of Stock purchased under the Plan for a period of time determined by 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1</w:t>
      </w:r>
    </w:p>
    <w:p>
      <w:pPr>
        <w:sectPr>
          <w:pgSz w:w="11900" w:h="16838" w:orient="portrait"/>
          <w:cols w:equalWidth="0" w:num="1">
            <w:col w:w="11240"/>
          </w:cols>
          <w:pgMar w:left="320" w:top="140" w:right="339" w:bottom="1440" w:gutter="0" w:footer="0" w:header="0"/>
        </w:sectPr>
      </w:pPr>
    </w:p>
    <w:bookmarkStart w:id="52" w:name="page53"/>
    <w:bookmarkEnd w:id="52"/>
    <w:p>
      <w:pPr>
        <w:spacing w:after="0" w:line="283" w:lineRule="auto"/>
        <w:rPr>
          <w:sz w:val="20"/>
          <w:szCs w:val="20"/>
          <w:color w:val="auto"/>
        </w:rPr>
      </w:pPr>
      <w:r>
        <w:rPr>
          <w:rFonts w:ascii="Times New Roman" w:cs="Times New Roman" w:eastAsia="Times New Roman" w:hAnsi="Times New Roman"/>
          <w:sz w:val="20"/>
          <w:szCs w:val="20"/>
          <w:color w:val="auto"/>
        </w:rPr>
        <w:t>individual exercising administrative authority with respect to the Plan will be liable for any action or determination made in good faith with respect to the Plan or any Option granted hereunder.</w:t>
      </w:r>
    </w:p>
    <w:p>
      <w:pPr>
        <w:spacing w:after="0" w:line="146" w:lineRule="exact"/>
        <w:rPr>
          <w:sz w:val="20"/>
          <w:szCs w:val="20"/>
          <w:color w:val="auto"/>
        </w:rPr>
      </w:pPr>
    </w:p>
    <w:p>
      <w:pPr>
        <w:jc w:val="both"/>
        <w:ind w:firstLine="656"/>
        <w:spacing w:after="0" w:line="251" w:lineRule="auto"/>
        <w:tabs>
          <w:tab w:leader="none" w:pos="107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Offerings</w:t>
      </w:r>
      <w:r>
        <w:rPr>
          <w:rFonts w:ascii="Times New Roman" w:cs="Times New Roman" w:eastAsia="Times New Roman" w:hAnsi="Times New Roman"/>
          <w:sz w:val="20"/>
          <w:szCs w:val="20"/>
          <w:color w:val="auto"/>
        </w:rPr>
        <w:t>. The Company may make one or more offerings to eligible employees to purchase shares of Stock under the Plan (“</w:t>
      </w:r>
      <w:r>
        <w:rPr>
          <w:rFonts w:ascii="Times New Roman" w:cs="Times New Roman" w:eastAsia="Times New Roman" w:hAnsi="Times New Roman"/>
          <w:sz w:val="20"/>
          <w:szCs w:val="20"/>
          <w:i w:val="1"/>
          <w:iCs w:val="1"/>
          <w:color w:val="auto"/>
        </w:rPr>
        <w:t>Offerings</w:t>
      </w:r>
      <w:r>
        <w:rPr>
          <w:rFonts w:ascii="Times New Roman" w:cs="Times New Roman" w:eastAsia="Times New Roman" w:hAnsi="Times New Roman"/>
          <w:sz w:val="20"/>
          <w:szCs w:val="20"/>
          <w:color w:val="auto"/>
        </w:rPr>
        <w:t>”),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w:t>
      </w:r>
    </w:p>
    <w:p>
      <w:pPr>
        <w:spacing w:after="0" w:line="195" w:lineRule="exact"/>
        <w:rPr>
          <w:rFonts w:ascii="Times New Roman" w:cs="Times New Roman" w:eastAsia="Times New Roman" w:hAnsi="Times New Roman"/>
          <w:sz w:val="20"/>
          <w:szCs w:val="20"/>
          <w:color w:val="auto"/>
        </w:rPr>
      </w:pPr>
    </w:p>
    <w:p>
      <w:pPr>
        <w:jc w:val="both"/>
        <w:ind w:firstLine="656"/>
        <w:spacing w:after="0" w:line="249" w:lineRule="auto"/>
        <w:tabs>
          <w:tab w:leader="none" w:pos="10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All individuals classified as employees on the payroll records of the Company or a Designated Company as of the first day of the applicable Offering (the “</w:t>
      </w:r>
      <w:r>
        <w:rPr>
          <w:rFonts w:ascii="Times New Roman" w:cs="Times New Roman" w:eastAsia="Times New Roman" w:hAnsi="Times New Roman"/>
          <w:sz w:val="20"/>
          <w:szCs w:val="20"/>
          <w:i w:val="1"/>
          <w:iCs w:val="1"/>
          <w:color w:val="auto"/>
        </w:rPr>
        <w:t>Offering Date</w:t>
      </w:r>
      <w:r>
        <w:rPr>
          <w:rFonts w:ascii="Times New Roman" w:cs="Times New Roman" w:eastAsia="Times New Roman" w:hAnsi="Times New Roman"/>
          <w:sz w:val="20"/>
          <w:szCs w:val="20"/>
          <w:color w:val="auto"/>
        </w:rPr>
        <w:t xml:space="preserve">”) are eligible to participate in such Offering under the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w:t>
      </w:r>
    </w:p>
    <w:p>
      <w:pPr>
        <w:spacing w:after="0" w:line="191" w:lineRule="exact"/>
        <w:rPr>
          <w:rFonts w:ascii="Times New Roman" w:cs="Times New Roman" w:eastAsia="Times New Roman" w:hAnsi="Times New Roman"/>
          <w:sz w:val="20"/>
          <w:szCs w:val="20"/>
          <w:color w:val="auto"/>
        </w:rPr>
      </w:pPr>
    </w:p>
    <w:p>
      <w:pPr>
        <w:jc w:val="both"/>
        <w:ind w:firstLine="656"/>
        <w:spacing w:after="0" w:line="266" w:lineRule="auto"/>
        <w:tabs>
          <w:tab w:leader="none" w:pos="1035"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w:t>
      </w:r>
      <w:r>
        <w:rPr>
          <w:rFonts w:ascii="Times New Roman" w:cs="Times New Roman" w:eastAsia="Times New Roman" w:hAnsi="Times New Roman"/>
          <w:sz w:val="19"/>
          <w:szCs w:val="19"/>
          <w:color w:val="auto"/>
        </w:rPr>
        <w:t>. An eligible employee who is not a Participant in any prior Offering may participate in a subsequent Offering by submitting an enrollment or other form to the Company or an agent designated by the Company or by completing an online enrollment process in a manner determined by the Administrator (including, but not limited to, by electronic means) by the deadline established by the Administrator for the Offering. The enrollment or other form or online enrollment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2</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83" w:lineRule="auto"/>
        <w:rPr>
          <w:sz w:val="20"/>
          <w:szCs w:val="20"/>
          <w:color w:val="auto"/>
        </w:rPr>
      </w:pPr>
      <w:r>
        <w:rPr>
          <w:rFonts w:ascii="Times New Roman" w:cs="Times New Roman" w:eastAsia="Times New Roman" w:hAnsi="Times New Roman"/>
          <w:sz w:val="20"/>
          <w:szCs w:val="20"/>
          <w:color w:val="auto"/>
        </w:rPr>
        <w:t>future Offerings. Notwithstanding the foregoing, participation in the Plan will neither be permitted nor be denied contrary to the requirements of the Code.</w:t>
      </w:r>
    </w:p>
    <w:p>
      <w:pPr>
        <w:spacing w:after="0" w:line="146" w:lineRule="exact"/>
        <w:rPr>
          <w:sz w:val="20"/>
          <w:szCs w:val="20"/>
          <w:color w:val="auto"/>
        </w:rPr>
      </w:pPr>
    </w:p>
    <w:p>
      <w:pPr>
        <w:jc w:val="both"/>
        <w:ind w:firstLine="656"/>
        <w:spacing w:after="0" w:line="258" w:lineRule="auto"/>
        <w:tabs>
          <w:tab w:leader="none" w:pos="10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Contributions</w:t>
      </w:r>
      <w:r>
        <w:rPr>
          <w:rFonts w:ascii="Times New Roman" w:cs="Times New Roman" w:eastAsia="Times New Roman" w:hAnsi="Times New Roman"/>
          <w:sz w:val="20"/>
          <w:szCs w:val="20"/>
          <w:color w:val="auto"/>
        </w:rPr>
        <w:t>. Each eligible employee may authorize payroll deductions at a minimum of 0%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w:t>
      </w:r>
    </w:p>
    <w:p>
      <w:pPr>
        <w:spacing w:after="0" w:line="193" w:lineRule="exact"/>
        <w:rPr>
          <w:sz w:val="20"/>
          <w:szCs w:val="20"/>
          <w:color w:val="auto"/>
        </w:rPr>
      </w:pPr>
    </w:p>
    <w:p>
      <w:pPr>
        <w:jc w:val="both"/>
        <w:ind w:firstLine="656"/>
        <w:spacing w:after="0" w:line="270" w:lineRule="auto"/>
        <w:tabs>
          <w:tab w:leader="none" w:pos="1089"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 Changes</w:t>
      </w:r>
      <w:r>
        <w:rPr>
          <w:rFonts w:ascii="Times New Roman" w:cs="Times New Roman" w:eastAsia="Times New Roman" w:hAnsi="Times New Roman"/>
          <w:sz w:val="19"/>
          <w:szCs w:val="19"/>
          <w:color w:val="auto"/>
        </w:rPr>
        <w:t>. Unless otherwise determined by the Administrator, except in the case of withdrawal as described in Section 7, a Participant may increase or decrease such Participant’s payroll deductions no more than two times during any Offering and may increase or decrease such Participant’s payroll deductions with respect to the next Offering (subject to the limitations of Section 5) by filing a new enrollment form by the deadline established by the Administrator for the Offering. The Administrator may, in advance of any Offering, establish alternative rules permitting a Participant to increase, decrease or terminate such Participant’s payroll deductions during an Offering.</w:t>
      </w:r>
    </w:p>
    <w:p>
      <w:pPr>
        <w:spacing w:after="0" w:line="175" w:lineRule="exact"/>
        <w:rPr>
          <w:rFonts w:ascii="Times New Roman" w:cs="Times New Roman" w:eastAsia="Times New Roman" w:hAnsi="Times New Roman"/>
          <w:sz w:val="19"/>
          <w:szCs w:val="19"/>
          <w:color w:val="auto"/>
        </w:rPr>
      </w:pPr>
    </w:p>
    <w:p>
      <w:pPr>
        <w:jc w:val="both"/>
        <w:ind w:firstLine="656"/>
        <w:spacing w:after="0" w:line="251" w:lineRule="auto"/>
        <w:tabs>
          <w:tab w:leader="none" w:pos="106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Withdrawal</w:t>
      </w:r>
      <w:r>
        <w:rPr>
          <w:rFonts w:ascii="Times New Roman" w:cs="Times New Roman" w:eastAsia="Times New Roman" w:hAnsi="Times New Roman"/>
          <w:sz w:val="20"/>
          <w:szCs w:val="20"/>
          <w:color w:val="auto"/>
        </w:rPr>
        <w:t>.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A Participant may not begin participation again in any Offering from which such Participant has withdrawn, but may enroll in a subsequent Offering in accordance with Section 4.</w:t>
      </w:r>
    </w:p>
    <w:p>
      <w:pPr>
        <w:spacing w:after="0" w:line="181" w:lineRule="exact"/>
        <w:rPr>
          <w:rFonts w:ascii="Times New Roman" w:cs="Times New Roman" w:eastAsia="Times New Roman" w:hAnsi="Times New Roman"/>
          <w:sz w:val="20"/>
          <w:szCs w:val="20"/>
          <w:color w:val="auto"/>
        </w:rPr>
      </w:pPr>
    </w:p>
    <w:p>
      <w:pPr>
        <w:jc w:val="both"/>
        <w:ind w:firstLine="656"/>
        <w:spacing w:after="0" w:line="270" w:lineRule="auto"/>
        <w:tabs>
          <w:tab w:leader="none" w:pos="994"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Options</w:t>
      </w:r>
      <w:r>
        <w:rPr>
          <w:rFonts w:ascii="Times New Roman" w:cs="Times New Roman" w:eastAsia="Times New Roman" w:hAnsi="Times New Roman"/>
          <w:sz w:val="19"/>
          <w:szCs w:val="19"/>
          <w:color w:val="auto"/>
        </w:rPr>
        <w:t>. On each Offering Date, the Company will grant to each eligible employee who is then a Participant in the Plan an option (“</w:t>
      </w:r>
      <w:r>
        <w:rPr>
          <w:rFonts w:ascii="Times New Roman" w:cs="Times New Roman" w:eastAsia="Times New Roman" w:hAnsi="Times New Roman"/>
          <w:sz w:val="19"/>
          <w:szCs w:val="19"/>
          <w:i w:val="1"/>
          <w:iCs w:val="1"/>
          <w:color w:val="auto"/>
        </w:rPr>
        <w:t>Option</w:t>
      </w:r>
      <w:r>
        <w:rPr>
          <w:rFonts w:ascii="Times New Roman" w:cs="Times New Roman" w:eastAsia="Times New Roman" w:hAnsi="Times New Roman"/>
          <w:sz w:val="19"/>
          <w:szCs w:val="19"/>
          <w:color w:val="auto"/>
        </w:rPr>
        <w:t>”) to purchase on the last day of a Purchase Period (an “</w:t>
      </w:r>
      <w:r>
        <w:rPr>
          <w:rFonts w:ascii="Times New Roman" w:cs="Times New Roman" w:eastAsia="Times New Roman" w:hAnsi="Times New Roman"/>
          <w:sz w:val="19"/>
          <w:szCs w:val="19"/>
          <w:i w:val="1"/>
          <w:iCs w:val="1"/>
          <w:color w:val="auto"/>
        </w:rPr>
        <w:t>Exercise Date</w:t>
      </w:r>
      <w:r>
        <w:rPr>
          <w:rFonts w:ascii="Times New Roman" w:cs="Times New Roman" w:eastAsia="Times New Roman" w:hAnsi="Times New Roman"/>
          <w:sz w:val="19"/>
          <w:szCs w:val="19"/>
          <w:color w:val="auto"/>
        </w:rPr>
        <w:t>”) the lowest of (a) a number of shares of Stock determined by dividing such Participant’s accumulated payroll deductions on such Exercise Date by the Option Price (as defined below),</w:t>
      </w:r>
    </w:p>
    <w:p>
      <w:pPr>
        <w:ind w:left="320" w:hanging="312"/>
        <w:spacing w:after="0"/>
        <w:tabs>
          <w:tab w:leader="none" w:pos="3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of Stock determined by dividing $25,000 by the Fair Market Value of the Stock on the Offering Date for such</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3</w:t>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line="287" w:lineRule="auto"/>
        <w:rPr>
          <w:sz w:val="20"/>
          <w:szCs w:val="20"/>
          <w:color w:val="auto"/>
        </w:rPr>
      </w:pPr>
      <w:r>
        <w:rPr>
          <w:rFonts w:ascii="Times New Roman" w:cs="Times New Roman" w:eastAsia="Times New Roman" w:hAnsi="Times New Roman"/>
          <w:sz w:val="20"/>
          <w:szCs w:val="20"/>
          <w:color w:val="auto"/>
        </w:rPr>
        <w:t>share of Stock purchased under each Option (the “</w:t>
      </w:r>
      <w:r>
        <w:rPr>
          <w:rFonts w:ascii="Times New Roman" w:cs="Times New Roman" w:eastAsia="Times New Roman" w:hAnsi="Times New Roman"/>
          <w:sz w:val="20"/>
          <w:szCs w:val="20"/>
          <w:i w:val="1"/>
          <w:iCs w:val="1"/>
          <w:color w:val="auto"/>
        </w:rPr>
        <w:t>Option Price</w:t>
      </w:r>
      <w:r>
        <w:rPr>
          <w:rFonts w:ascii="Times New Roman" w:cs="Times New Roman" w:eastAsia="Times New Roman" w:hAnsi="Times New Roman"/>
          <w:sz w:val="20"/>
          <w:szCs w:val="20"/>
          <w:color w:val="auto"/>
        </w:rPr>
        <w:t>”) will be 85% of the Fair Market Value of the Stock on the Offering Date or the Exercise Date, whichever is less.</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89" w:lineRule="exact"/>
        <w:rPr>
          <w:sz w:val="20"/>
          <w:szCs w:val="20"/>
          <w:color w:val="auto"/>
        </w:rPr>
      </w:pPr>
    </w:p>
    <w:p>
      <w:pPr>
        <w:jc w:val="both"/>
        <w:ind w:firstLine="656"/>
        <w:spacing w:after="0" w:line="251" w:lineRule="auto"/>
        <w:tabs>
          <w:tab w:leader="none" w:pos="103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 and Purchase of Shares</w:t>
      </w:r>
      <w:r>
        <w:rPr>
          <w:rFonts w:ascii="Times New Roman" w:cs="Times New Roman" w:eastAsia="Times New Roman" w:hAnsi="Times New Roman"/>
          <w:sz w:val="20"/>
          <w:szCs w:val="20"/>
          <w:color w:val="auto"/>
        </w:rPr>
        <w:t>.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provided, however, in order to purchase shares on any Exercise Date, the employee must have a valid and active account at a broker designated by the Company or a designated agent of the Company for the duration of the Offering in which such Exercise Date occurs. Unless otherwise determined by the Administrator in advance of any Offering, any balance remaining in a Participant’s account at the end of a Purchase Period or Offering will be promptly refunded to the Participant.</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1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Shares</w:t>
      </w:r>
      <w:r>
        <w:rPr>
          <w:rFonts w:ascii="Times New Roman" w:cs="Times New Roman" w:eastAsia="Times New Roman" w:hAnsi="Times New Roman"/>
          <w:sz w:val="20"/>
          <w:szCs w:val="20"/>
          <w:color w:val="auto"/>
        </w:rPr>
        <w:t>.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w:t>
      </w:r>
    </w:p>
    <w:p>
      <w:pPr>
        <w:spacing w:after="0" w:line="167"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following terms shall be defined as set forth below:</w:t>
      </w:r>
    </w:p>
    <w:p>
      <w:pPr>
        <w:spacing w:after="0" w:line="22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Affiliate</w:t>
      </w:r>
      <w:r>
        <w:rPr>
          <w:rFonts w:ascii="Times New Roman" w:cs="Times New Roman" w:eastAsia="Times New Roman" w:hAnsi="Times New Roman"/>
          <w:sz w:val="20"/>
          <w:szCs w:val="20"/>
          <w:color w:val="auto"/>
        </w:rPr>
        <w:t>” means any entity that is directly or indirectly controlled by the Company that does not meet the definition of a Subsidiary below, as determined by the Administrator, whether now or hereafter existing.</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Compensation</w:t>
      </w:r>
      <w:r>
        <w:rPr>
          <w:rFonts w:ascii="Times New Roman" w:cs="Times New Roman" w:eastAsia="Times New Roman" w:hAnsi="Times New Roman"/>
          <w:sz w:val="19"/>
          <w:szCs w:val="19"/>
          <w:color w:val="auto"/>
        </w:rPr>
        <w:t>” means the amount of money reportable on a Participant’s Form W-2 before any withholdings for health insurance or under a Section 401(k), 125, 129 or similar plan, excluding third party sick or disability pay, allowances and reimbursements for expenses such as relocation allowances or travel expenses, whether specifically designated as such or designated as signing bonuses, income or gains attributable to restricted stock, restricted stock units, stock options, stock appreciation rights or other similar equity based compensation, imputed income for non-cash items, such as life insurance premiums, and similar items, whether or not specifically itemized on the Form W-</w:t>
      </w:r>
    </w:p>
    <w:p>
      <w:pPr>
        <w:spacing w:after="0" w:line="3" w:lineRule="exact"/>
        <w:rPr>
          <w:sz w:val="20"/>
          <w:szCs w:val="20"/>
          <w:color w:val="auto"/>
        </w:rPr>
      </w:pPr>
    </w:p>
    <w:p>
      <w:pPr>
        <w:ind w:firstLine="8"/>
        <w:spacing w:after="0" w:line="260" w:lineRule="auto"/>
        <w:tabs>
          <w:tab w:leader="none" w:pos="20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avoidance of doubt, “Compensation” shall include cash payments in respect of bonuses, commissions and other cash-based incentive plans. The Administrator shall have the discretion to determine the application of this definition to Participants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4</w:t>
      </w:r>
    </w:p>
    <w:p>
      <w:pPr>
        <w:sectPr>
          <w:pgSz w:w="11900" w:h="16838" w:orient="portrait"/>
          <w:cols w:equalWidth="0" w:num="1">
            <w:col w:w="11240"/>
          </w:cols>
          <w:pgMar w:left="320" w:top="1409" w:right="339" w:bottom="1440" w:gutter="0" w:footer="0" w:header="0"/>
        </w:sectPr>
      </w:pPr>
    </w:p>
    <w:bookmarkStart w:id="55" w:name="page56"/>
    <w:bookmarkEnd w:id="55"/>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Designated Company</w:t>
      </w:r>
      <w:r>
        <w:rPr>
          <w:rFonts w:ascii="Times New Roman" w:cs="Times New Roman" w:eastAsia="Times New Roman" w:hAnsi="Times New Roman"/>
          <w:sz w:val="20"/>
          <w:szCs w:val="20"/>
          <w:color w:val="auto"/>
        </w:rPr>
        <w:t>”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Fair Market Value”</w:t>
      </w:r>
      <w:r>
        <w:rPr>
          <w:rFonts w:ascii="Times New Roman" w:cs="Times New Roman" w:eastAsia="Times New Roman" w:hAnsi="Times New Roman"/>
          <w:sz w:val="20"/>
          <w:szCs w:val="20"/>
          <w:color w:val="auto"/>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 w:cs="Times New Roman" w:eastAsia="Times New Roman" w:hAnsi="Times New Roman"/>
          <w:sz w:val="20"/>
          <w:szCs w:val="20"/>
          <w:i w:val="1"/>
          <w:iCs w:val="1"/>
          <w:color w:val="auto"/>
        </w:rPr>
        <w:t>NASDAQ</w:t>
      </w:r>
      <w:r>
        <w:rPr>
          <w:rFonts w:ascii="Times New Roman" w:cs="Times New Roman" w:eastAsia="Times New Roman" w:hAnsi="Times New Roman"/>
          <w:sz w:val="20"/>
          <w:szCs w:val="20"/>
          <w:color w:val="auto"/>
        </w:rPr>
        <w:t>”), NASDAQ Global Market, The New York Stock Exchange or another national securities exchange or traded on any established market, the determination shall be made by reference to the closing price on the immediately preceding trading day.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New Exercise Date</w:t>
      </w:r>
      <w:r>
        <w:rPr>
          <w:rFonts w:ascii="Times New Roman" w:cs="Times New Roman" w:eastAsia="Times New Roman" w:hAnsi="Times New Roman"/>
          <w:sz w:val="20"/>
          <w:szCs w:val="20"/>
          <w:color w:val="auto"/>
        </w:rPr>
        <w:t>” means a new Exercise Date if the Administrator shortens any Offering then in progress.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Parent</w:t>
      </w:r>
      <w:r>
        <w:rPr>
          <w:rFonts w:ascii="Times New Roman" w:cs="Times New Roman" w:eastAsia="Times New Roman" w:hAnsi="Times New Roman"/>
          <w:sz w:val="20"/>
          <w:szCs w:val="20"/>
          <w:color w:val="auto"/>
        </w:rPr>
        <w:t>” means a “parent corporation” with respect to the Company, as defined in Section 424(e) of the Code.</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Participant</w:t>
      </w:r>
      <w:r>
        <w:rPr>
          <w:rFonts w:ascii="Times New Roman" w:cs="Times New Roman" w:eastAsia="Times New Roman" w:hAnsi="Times New Roman"/>
          <w:sz w:val="20"/>
          <w:szCs w:val="20"/>
          <w:color w:val="auto"/>
        </w:rPr>
        <w:t>” means an individual who is eligible, as determined pursuant to Section 3, and who has complied with the provisions of Section 4.</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Purchase Period</w:t>
      </w:r>
      <w:r>
        <w:rPr>
          <w:rFonts w:ascii="Times New Roman" w:cs="Times New Roman" w:eastAsia="Times New Roman" w:hAnsi="Times New Roman"/>
          <w:sz w:val="20"/>
          <w:szCs w:val="20"/>
          <w:color w:val="auto"/>
        </w:rPr>
        <w:t>” means a period of time specified within an Offering, as determined by the Administrator in accordance with Section 2.</w:t>
      </w:r>
    </w:p>
    <w:p>
      <w:pPr>
        <w:spacing w:after="0" w:line="1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Sale Event</w:t>
      </w:r>
      <w:r>
        <w:rPr>
          <w:rFonts w:ascii="Times New Roman" w:cs="Times New Roman" w:eastAsia="Times New Roman" w:hAnsi="Times New Roman"/>
          <w:sz w:val="19"/>
          <w:szCs w:val="19"/>
          <w:color w:val="auto"/>
        </w:rPr>
        <w:t>”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w:t>
      </w:r>
    </w:p>
    <w:p>
      <w:pPr>
        <w:spacing w:after="0" w:line="2" w:lineRule="exact"/>
        <w:rPr>
          <w:sz w:val="20"/>
          <w:szCs w:val="20"/>
          <w:color w:val="auto"/>
        </w:rPr>
      </w:pPr>
    </w:p>
    <w:p>
      <w:pPr>
        <w:jc w:val="both"/>
        <w:ind w:firstLine="8"/>
        <w:spacing w:after="0" w:line="251" w:lineRule="auto"/>
        <w:tabs>
          <w:tab w:leader="none" w:pos="35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all of the Stock of the Company to an unrelated person, entity or group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Stock</w:t>
      </w:r>
      <w:r>
        <w:rPr>
          <w:rFonts w:ascii="Times New Roman" w:cs="Times New Roman" w:eastAsia="Times New Roman" w:hAnsi="Times New Roman"/>
          <w:sz w:val="20"/>
          <w:szCs w:val="20"/>
          <w:color w:val="auto"/>
        </w:rPr>
        <w:t>” means the Common Stock, par value $0.01 per share, of the Company, subject to adjustments pursuant to Section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5</w:t>
      </w:r>
    </w:p>
    <w:p>
      <w:pPr>
        <w:sectPr>
          <w:pgSz w:w="11900" w:h="16838" w:orient="portrait"/>
          <w:cols w:equalWidth="0" w:num="1">
            <w:col w:w="11240"/>
          </w:cols>
          <w:pgMar w:left="320" w:top="1409"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Subsidiary</w:t>
      </w:r>
      <w:r>
        <w:rPr>
          <w:rFonts w:ascii="Times New Roman" w:cs="Times New Roman" w:eastAsia="Times New Roman" w:hAnsi="Times New Roman"/>
          <w:sz w:val="20"/>
          <w:szCs w:val="20"/>
          <w:color w:val="auto"/>
        </w:rPr>
        <w:t>” means a “subsidiary corporation” with respect to the Company, as defined in Section 424(f) of the Code.</w:t>
      </w:r>
    </w:p>
    <w:p>
      <w:pPr>
        <w:spacing w:after="0" w:line="233" w:lineRule="exact"/>
        <w:rPr>
          <w:sz w:val="20"/>
          <w:szCs w:val="20"/>
          <w:color w:val="auto"/>
        </w:rPr>
      </w:pPr>
    </w:p>
    <w:p>
      <w:pPr>
        <w:jc w:val="both"/>
        <w:ind w:firstLine="656"/>
        <w:spacing w:after="0" w:line="250" w:lineRule="auto"/>
        <w:tabs>
          <w:tab w:leader="none" w:pos="11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on Termination of Employment</w:t>
      </w:r>
      <w:r>
        <w:rPr>
          <w:rFonts w:ascii="Times New Roman" w:cs="Times New Roman" w:eastAsia="Times New Roman" w:hAnsi="Times New Roman"/>
          <w:sz w:val="20"/>
          <w:szCs w:val="20"/>
          <w:color w:val="auto"/>
        </w:rPr>
        <w:t>.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w:t>
      </w:r>
    </w:p>
    <w:p>
      <w:pPr>
        <w:spacing w:after="0" w:line="201" w:lineRule="exact"/>
        <w:rPr>
          <w:sz w:val="20"/>
          <w:szCs w:val="20"/>
          <w:color w:val="auto"/>
        </w:rPr>
      </w:pPr>
    </w:p>
    <w:p>
      <w:pPr>
        <w:jc w:val="both"/>
        <w:ind w:firstLine="656"/>
        <w:spacing w:after="0" w:line="249" w:lineRule="auto"/>
        <w:tabs>
          <w:tab w:leader="none" w:pos="116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Rules and Sub-Plans</w:t>
      </w:r>
      <w:r>
        <w:rPr>
          <w:rFonts w:ascii="Times New Roman" w:cs="Times New Roman" w:eastAsia="Times New Roman" w:hAnsi="Times New Roman"/>
          <w:sz w:val="20"/>
          <w:szCs w:val="20"/>
          <w:color w:val="auto"/>
        </w:rPr>
        <w:t>.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6</w:t>
      </w:r>
    </w:p>
    <w:p>
      <w:pPr>
        <w:sectPr>
          <w:pgSz w:w="11900" w:h="16838" w:orient="portrait"/>
          <w:cols w:equalWidth="0" w:num="1">
            <w:col w:w="11240"/>
          </w:cols>
          <w:pgMar w:left="320" w:top="140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9"/>
          <w:szCs w:val="19"/>
          <w:color w:val="auto"/>
        </w:rPr>
        <w:t>specified period under the applicable sub-plan, (vi) the treatment of Options upon a Sale Event or a change in capitalization of the Company,</w:t>
      </w:r>
    </w:p>
    <w:p>
      <w:pPr>
        <w:spacing w:after="0" w:line="40" w:lineRule="exact"/>
        <w:rPr>
          <w:sz w:val="20"/>
          <w:szCs w:val="20"/>
          <w:color w:val="auto"/>
        </w:rPr>
      </w:pPr>
    </w:p>
    <w:p>
      <w:pPr>
        <w:jc w:val="both"/>
        <w:ind w:firstLine="8"/>
        <w:spacing w:after="0" w:line="253" w:lineRule="auto"/>
        <w:tabs>
          <w:tab w:leader="none" w:pos="3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w:t>
      </w:r>
    </w:p>
    <w:p>
      <w:pPr>
        <w:spacing w:after="0" w:line="202" w:lineRule="exact"/>
        <w:rPr>
          <w:rFonts w:ascii="Times New Roman" w:cs="Times New Roman" w:eastAsia="Times New Roman" w:hAnsi="Times New Roman"/>
          <w:sz w:val="20"/>
          <w:szCs w:val="20"/>
          <w:color w:val="auto"/>
        </w:rPr>
      </w:pPr>
    </w:p>
    <w:p>
      <w:pPr>
        <w:jc w:val="both"/>
        <w:ind w:firstLine="656"/>
        <w:spacing w:after="0" w:line="268" w:lineRule="auto"/>
        <w:tabs>
          <w:tab w:leader="none" w:pos="113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Optionees Not Stockholders</w:t>
      </w:r>
      <w:r>
        <w:rPr>
          <w:rFonts w:ascii="Times New Roman" w:cs="Times New Roman" w:eastAsia="Times New Roman" w:hAnsi="Times New Roman"/>
          <w:sz w:val="20"/>
          <w:szCs w:val="20"/>
          <w:color w:val="auto"/>
        </w:rPr>
        <w:t>.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13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Not Transferable</w:t>
      </w:r>
      <w:r>
        <w:rPr>
          <w:rFonts w:ascii="Times New Roman" w:cs="Times New Roman" w:eastAsia="Times New Roman" w:hAnsi="Times New Roman"/>
          <w:sz w:val="20"/>
          <w:szCs w:val="20"/>
          <w:color w:val="auto"/>
        </w:rPr>
        <w:t>. Rights under the Plan are not transferable by a Participant other than by will or the laws of descent and distribution, and are exercisable during the Participant’s lifetime only by the Participant.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0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Funds</w:t>
      </w:r>
      <w:r>
        <w:rPr>
          <w:rFonts w:ascii="Times New Roman" w:cs="Times New Roman" w:eastAsia="Times New Roman" w:hAnsi="Times New Roman"/>
          <w:sz w:val="20"/>
          <w:szCs w:val="20"/>
          <w:color w:val="auto"/>
        </w:rPr>
        <w:t>. All funds received or held by the Company under the Plan may be combined with other corporate funds and may be used for any corporate purpose, unless otherwise required under applicable law.</w:t>
      </w:r>
    </w:p>
    <w:p>
      <w:pPr>
        <w:spacing w:after="0" w:line="15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0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in Case of Changes Affecting Stock</w:t>
      </w:r>
      <w:r>
        <w:rPr>
          <w:rFonts w:ascii="Times New Roman" w:cs="Times New Roman" w:eastAsia="Times New Roman" w:hAnsi="Times New Roman"/>
          <w:sz w:val="20"/>
          <w:szCs w:val="20"/>
          <w:color w:val="auto"/>
        </w:rPr>
        <w:t>.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spacing w:after="0" w:line="193" w:lineRule="exact"/>
        <w:rPr>
          <w:sz w:val="20"/>
          <w:szCs w:val="20"/>
          <w:color w:val="auto"/>
        </w:rPr>
      </w:pPr>
    </w:p>
    <w:p>
      <w:pPr>
        <w:jc w:val="both"/>
        <w:ind w:left="340" w:firstLine="316"/>
        <w:spacing w:after="0" w:line="261" w:lineRule="auto"/>
        <w:tabs>
          <w:tab w:leader="none" w:pos="111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spacing w:after="0" w:line="194" w:lineRule="exact"/>
        <w:rPr>
          <w:rFonts w:ascii="Times New Roman" w:cs="Times New Roman" w:eastAsia="Times New Roman" w:hAnsi="Times New Roman"/>
          <w:sz w:val="20"/>
          <w:szCs w:val="20"/>
          <w:color w:val="auto"/>
        </w:rPr>
      </w:pPr>
    </w:p>
    <w:p>
      <w:pPr>
        <w:jc w:val="both"/>
        <w:ind w:left="340" w:firstLine="316"/>
        <w:spacing w:after="0" w:line="268" w:lineRule="auto"/>
        <w:tabs>
          <w:tab w:leader="none" w:pos="110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outstanding Options under the Plan will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spacing w:after="0" w:line="188" w:lineRule="exact"/>
        <w:rPr>
          <w:rFonts w:ascii="Times New Roman" w:cs="Times New Roman" w:eastAsia="Times New Roman" w:hAnsi="Times New Roman"/>
          <w:sz w:val="20"/>
          <w:szCs w:val="20"/>
          <w:color w:val="auto"/>
        </w:rPr>
      </w:pPr>
    </w:p>
    <w:p>
      <w:pPr>
        <w:ind w:left="340" w:firstLine="316"/>
        <w:spacing w:after="0" w:line="283" w:lineRule="auto"/>
        <w:tabs>
          <w:tab w:leader="none" w:pos="110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Stock (or other securities or property) subject to outstanding Options under the Plan and/or in the terms and conditions of outstanding Options and Options that may be granted in the future.</w:t>
      </w:r>
    </w:p>
    <w:p>
      <w:pPr>
        <w:spacing w:after="0" w:line="173" w:lineRule="exact"/>
        <w:rPr>
          <w:rFonts w:ascii="Times New Roman" w:cs="Times New Roman" w:eastAsia="Times New Roman" w:hAnsi="Times New Roman"/>
          <w:sz w:val="20"/>
          <w:szCs w:val="20"/>
          <w:color w:val="auto"/>
        </w:rPr>
      </w:pPr>
    </w:p>
    <w:p>
      <w:pPr>
        <w:jc w:val="both"/>
        <w:ind w:left="340" w:firstLine="316"/>
        <w:spacing w:after="0" w:line="258" w:lineRule="auto"/>
        <w:tabs>
          <w:tab w:leader="none" w:pos="109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7</w:t>
      </w:r>
    </w:p>
    <w:p>
      <w:pPr>
        <w:sectPr>
          <w:pgSz w:w="11900" w:h="16838" w:orient="portrait"/>
          <w:cols w:equalWidth="0" w:num="1">
            <w:col w:w="11240"/>
          </w:cols>
          <w:pgMar w:left="320" w:top="1413" w:right="339" w:bottom="1440" w:gutter="0" w:footer="0" w:header="0"/>
        </w:sectPr>
      </w:pPr>
    </w:p>
    <w:bookmarkStart w:id="58" w:name="page59"/>
    <w:bookmarkEnd w:id="58"/>
    <w:p>
      <w:pPr>
        <w:ind w:left="340" w:right="20"/>
        <w:spacing w:after="0" w:line="283" w:lineRule="auto"/>
        <w:rPr>
          <w:sz w:val="20"/>
          <w:szCs w:val="20"/>
          <w:color w:val="auto"/>
        </w:rPr>
      </w:pPr>
      <w:r>
        <w:rPr>
          <w:rFonts w:ascii="Times New Roman" w:cs="Times New Roman" w:eastAsia="Times New Roman" w:hAnsi="Times New Roman"/>
          <w:sz w:val="20"/>
          <w:szCs w:val="20"/>
          <w:color w:val="auto"/>
        </w:rPr>
        <w:t>automatically on the New Exercise Date, unless the Participant has withdrawn from the Offering in advance of the New Exercise Date as provided in Section 7 hereof.</w:t>
      </w:r>
    </w:p>
    <w:p>
      <w:pPr>
        <w:spacing w:after="0" w:line="173" w:lineRule="exact"/>
        <w:rPr>
          <w:sz w:val="20"/>
          <w:szCs w:val="20"/>
          <w:color w:val="auto"/>
        </w:rPr>
      </w:pPr>
    </w:p>
    <w:p>
      <w:pPr>
        <w:ind w:left="340" w:right="20" w:firstLine="316"/>
        <w:spacing w:after="0" w:line="283" w:lineRule="auto"/>
        <w:tabs>
          <w:tab w:leader="none" w:pos="110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all outstanding Options shall terminate without being exercised and all amounts in the accounts of Participants shall be promptly refunded.</w:t>
      </w:r>
    </w:p>
    <w:p>
      <w:pPr>
        <w:spacing w:after="0" w:line="173" w:lineRule="exact"/>
        <w:rPr>
          <w:sz w:val="20"/>
          <w:szCs w:val="20"/>
          <w:color w:val="auto"/>
        </w:rPr>
      </w:pPr>
    </w:p>
    <w:p>
      <w:pPr>
        <w:jc w:val="both"/>
        <w:ind w:firstLine="656"/>
        <w:spacing w:after="0" w:line="253" w:lineRule="auto"/>
        <w:tabs>
          <w:tab w:leader="none" w:pos="114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w:t>
      </w:r>
    </w:p>
    <w:p>
      <w:pPr>
        <w:spacing w:after="0" w:line="180" w:lineRule="exact"/>
        <w:rPr>
          <w:rFonts w:ascii="Times New Roman" w:cs="Times New Roman" w:eastAsia="Times New Roman" w:hAnsi="Times New Roman"/>
          <w:sz w:val="20"/>
          <w:szCs w:val="20"/>
          <w:color w:val="auto"/>
        </w:rPr>
      </w:pPr>
    </w:p>
    <w:p>
      <w:pPr>
        <w:jc w:val="both"/>
        <w:ind w:firstLine="656"/>
        <w:spacing w:after="0" w:line="257" w:lineRule="auto"/>
        <w:tabs>
          <w:tab w:leader="none" w:pos="11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the Plan</w:t>
      </w:r>
      <w:r>
        <w:rPr>
          <w:rFonts w:ascii="Times New Roman" w:cs="Times New Roman" w:eastAsia="Times New Roman" w:hAnsi="Times New Roman"/>
          <w:sz w:val="20"/>
          <w:szCs w:val="20"/>
          <w:color w:val="auto"/>
        </w:rPr>
        <w:t>.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would require stockholder approval in order for the 423 Component of the Plan, as amended, to qualify as an “employee stock purchase plan” under Section 423(b) of the Code, as determined by the Administrator.</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Shares</w:t>
      </w:r>
      <w:r>
        <w:rPr>
          <w:rFonts w:ascii="Times New Roman" w:cs="Times New Roman" w:eastAsia="Times New Roman" w:hAnsi="Times New Roman"/>
          <w:sz w:val="20"/>
          <w:szCs w:val="20"/>
          <w:color w:val="auto"/>
        </w:rPr>
        <w:t>.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the Plan</w:t>
      </w:r>
      <w:r>
        <w:rPr>
          <w:rFonts w:ascii="Times New Roman" w:cs="Times New Roman" w:eastAsia="Times New Roman" w:hAnsi="Times New Roman"/>
          <w:sz w:val="20"/>
          <w:szCs w:val="20"/>
          <w:color w:val="auto"/>
        </w:rPr>
        <w:t>. The Plan may be terminated at any time by the Board. Upon termination of the Plan, all amounts in the accounts of Participants shall be promptly refunded.</w:t>
      </w:r>
    </w:p>
    <w:p>
      <w:pPr>
        <w:spacing w:after="0" w:line="159" w:lineRule="exact"/>
        <w:rPr>
          <w:rFonts w:ascii="Times New Roman" w:cs="Times New Roman" w:eastAsia="Times New Roman" w:hAnsi="Times New Roman"/>
          <w:sz w:val="20"/>
          <w:szCs w:val="20"/>
          <w:color w:val="auto"/>
        </w:rPr>
      </w:pPr>
    </w:p>
    <w:p>
      <w:pPr>
        <w:jc w:val="both"/>
        <w:ind w:firstLine="656"/>
        <w:spacing w:after="0" w:line="270" w:lineRule="auto"/>
        <w:tabs>
          <w:tab w:leader="none" w:pos="1107"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Governmental Regulations</w:t>
      </w:r>
      <w:r>
        <w:rPr>
          <w:rFonts w:ascii="Times New Roman" w:cs="Times New Roman" w:eastAsia="Times New Roman" w:hAnsi="Times New Roman"/>
          <w:sz w:val="19"/>
          <w:szCs w:val="19"/>
          <w:color w:val="auto"/>
        </w:rPr>
        <w:t>. The Company’s obligation to sell and deliver shares of Stock under the Plan is subject to obtaining all governmental approvals required in connection with the authorization, issuance or sale of such Stock and to compliance with all applicable provisions of law, domestic or foreign, including without limitation the U.S. Securities Act of 1933, as amended, and the U.S. Securities Exchange Act of 1934, as amended, the rules and regulations promulgated thereunder, and the requirements of any stock exchange or automated quotation system upon which the Stock may then be listed, exchange control restrictions and/or securities law restrictions.</w:t>
      </w:r>
    </w:p>
    <w:p>
      <w:pPr>
        <w:spacing w:after="0" w:line="175" w:lineRule="exact"/>
        <w:rPr>
          <w:rFonts w:ascii="Times New Roman" w:cs="Times New Roman" w:eastAsia="Times New Roman" w:hAnsi="Times New Roman"/>
          <w:sz w:val="19"/>
          <w:szCs w:val="19"/>
          <w:color w:val="auto"/>
        </w:rPr>
      </w:pPr>
    </w:p>
    <w:p>
      <w:pPr>
        <w:jc w:val="both"/>
        <w:ind w:firstLine="656"/>
        <w:spacing w:after="0" w:line="254" w:lineRule="auto"/>
        <w:tabs>
          <w:tab w:leader="none" w:pos="116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8</w:t>
      </w:r>
    </w:p>
    <w:p>
      <w:pPr>
        <w:sectPr>
          <w:pgSz w:w="11900" w:h="16838" w:orient="portrait"/>
          <w:cols w:equalWidth="0" w:num="1">
            <w:col w:w="11240"/>
          </w:cols>
          <w:pgMar w:left="320" w:top="1413" w:right="339" w:bottom="1440" w:gutter="0" w:footer="0" w:header="0"/>
        </w:sectPr>
      </w:pPr>
    </w:p>
    <w:bookmarkStart w:id="59" w:name="page60"/>
    <w:bookmarkEnd w:id="59"/>
    <w:p>
      <w:pPr>
        <w:ind w:firstLine="656"/>
        <w:spacing w:after="0" w:line="283" w:lineRule="auto"/>
        <w:tabs>
          <w:tab w:leader="none" w:pos="11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Shares may be issued upon exercise of an Option from authorized but unissued Stock, from shares held in the treasury of the Company or from any other proper source.</w:t>
      </w:r>
    </w:p>
    <w:p>
      <w:pPr>
        <w:spacing w:after="0" w:line="146" w:lineRule="exact"/>
        <w:rPr>
          <w:rFonts w:ascii="Times New Roman" w:cs="Times New Roman" w:eastAsia="Times New Roman" w:hAnsi="Times New Roman"/>
          <w:sz w:val="20"/>
          <w:szCs w:val="20"/>
          <w:color w:val="auto"/>
        </w:rPr>
      </w:pPr>
    </w:p>
    <w:p>
      <w:pPr>
        <w:jc w:val="both"/>
        <w:ind w:firstLine="656"/>
        <w:spacing w:after="0" w:line="252" w:lineRule="auto"/>
        <w:tabs>
          <w:tab w:leader="none" w:pos="11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w:t>
      </w:r>
    </w:p>
    <w:p>
      <w:pPr>
        <w:spacing w:after="0" w:line="18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4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Upon Sale of Shares Under the 423 Component</w:t>
      </w:r>
      <w:r>
        <w:rPr>
          <w:rFonts w:ascii="Times New Roman" w:cs="Times New Roman" w:eastAsia="Times New Roman" w:hAnsi="Times New Roman"/>
          <w:sz w:val="20"/>
          <w:szCs w:val="20"/>
          <w:color w:val="auto"/>
        </w:rPr>
        <w:t>.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Plan shall take effect on the later of the date it is adopted by the Board and the date it is approved by the holders of a majority of the votes cast at a meeting of stockholders at which a quorum is present. Upon approval of the Plan, no further grants will be made under any predecessor Employee Stock Purchase Plan previously established by the Company.</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Equal Rights and Privileges</w:t>
      </w:r>
      <w:r>
        <w:rPr>
          <w:rFonts w:ascii="Times New Roman" w:cs="Times New Roman" w:eastAsia="Times New Roman" w:hAnsi="Times New Roman"/>
          <w:sz w:val="20"/>
          <w:szCs w:val="20"/>
          <w:color w:val="auto"/>
        </w:rPr>
        <w:t>. Notwithstanding any provision of the Plan to the contrary and in accordance with Section 423 of the Code, all eligible employees who are granted Options under the 423 Component shall have the same rights and privileges.</w:t>
      </w:r>
    </w:p>
    <w:p>
      <w:pPr>
        <w:spacing w:after="0" w:line="199" w:lineRule="exact"/>
        <w:rPr>
          <w:rFonts w:ascii="Times New Roman" w:cs="Times New Roman" w:eastAsia="Times New Roman" w:hAnsi="Times New Roman"/>
          <w:sz w:val="20"/>
          <w:szCs w:val="20"/>
          <w:color w:val="auto"/>
        </w:rPr>
      </w:pPr>
    </w:p>
    <w:p>
      <w:pPr>
        <w:ind w:firstLine="656"/>
        <w:spacing w:after="0" w:line="269" w:lineRule="auto"/>
        <w:tabs>
          <w:tab w:leader="none" w:pos="10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Service</w:t>
      </w:r>
      <w:r>
        <w:rPr>
          <w:rFonts w:ascii="Times New Roman" w:cs="Times New Roman" w:eastAsia="Times New Roman" w:hAnsi="Times New Roman"/>
          <w:sz w:val="20"/>
          <w:szCs w:val="20"/>
          <w:color w:val="auto"/>
        </w:rPr>
        <w:t>. None of the Plan, participation in any Offering or any compensation paid hereunder will confer on any Participant the right to continue as an employee or in any other capacity.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APPROVED BY BOARD OF DIRECTORS: January 27,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APPROVED BY STOCKHOLDERS: May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5E5E61"/>
        </w:rPr>
        <w:t>9</w:t>
      </w:r>
    </w:p>
    <w:p>
      <w:pPr>
        <w:sectPr>
          <w:pgSz w:w="11900" w:h="16838" w:orient="portrait"/>
          <w:cols w:equalWidth="0" w:num="1">
            <w:col w:w="11240"/>
          </w:cols>
          <w:pgMar w:left="320" w:top="141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4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 2013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Amended and Restated 2013 Stock Incentive Plan is hereby amended as follows: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Section 4(a)(1) of the Plan is hereby deleted in its entirety and replaced with the following:</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 $0.01 par value per share, of the Company (the “Common Stock”) as is equal to the sum 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54,750,000 shares of Common Stock; and”</w:t>
      </w:r>
    </w:p>
    <w:p>
      <w:pPr>
        <w:spacing w:after="0" w:line="200" w:lineRule="exact"/>
        <w:rPr>
          <w:sz w:val="20"/>
          <w:szCs w:val="20"/>
          <w:color w:val="auto"/>
        </w:rPr>
      </w:pPr>
    </w:p>
    <w:p>
      <w:pPr>
        <w:spacing w:after="0" w:line="2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AMENDMENT NO. 3 TO</w:t>
      </w:r>
    </w:p>
    <w:p>
      <w:pPr>
        <w:spacing w:after="0" w:line="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SECOND AMENDED AND RESTATED 2013 STOCK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Amended and Restated 2013 Stock Incentive Plan is hereby amended as follows: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Section 4(a)(1) of the Plan is hereby deleted in its entirety and replaced with the following:</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 $0.01 par value per share, of the Company (the “Common Stock”) as is equal to the sum 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46,750,000 shares of Common Stock; and”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 2013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Amended and Restated 2013 Stock Incentive Plan is hereby amended as follows: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Section 4(a)(1) of the Plan is hereby deleted and a new Section 4(a)(1) is inserted in lieu thereof which shall read as follows:</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 $0.01 par value per share, of the Company (the “Common Stock”) as is equal to the sum 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38,750,000 shares of Common Stock; 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AMENDED AND RESTATED 2013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AKAMAI 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Amended and Restated 2013 Stock Incentive Plan is hereby amended as follows: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Section 4(a)(1) of the Plan is hereby deleted and a new Section 4(a)(1) is inserted in lieu thereof which shall read as follows:</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 $0.01 par value per share, of the Company (the “Common Stock”) as is equal to the sum 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33,750,000 shares of Common Stock; and”</w:t>
      </w:r>
    </w:p>
    <w:p>
      <w:pPr>
        <w:sectPr>
          <w:pgSz w:w="11900" w:h="16838" w:orient="portrait"/>
          <w:cols w:equalWidth="0" w:num="1">
            <w:col w:w="11240"/>
          </w:cols>
          <w:pgMar w:left="320" w:top="9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954" w:right="339" w:bottom="144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Akamai Technologies,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SECOND AMENDED AND RESTATED 2013 STOCK INCENTIVE PLAN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Purpose</w:t>
      </w:r>
    </w:p>
    <w:p>
      <w:pPr>
        <w:spacing w:after="0" w:line="11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purpose of this 2013 Stock Incentive Plan (the “Plan”) of Akamai Technologies, Inc., a Delaware corporation (the “Company” or “Akamai”),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Eligibility</w:t>
      </w:r>
    </w:p>
    <w:p>
      <w:pPr>
        <w:spacing w:after="0" w:line="117"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the terms consultants and advisors are defined and interpreted for purposes of Form S-8 under the Securities Act of 1933, as amended (the “Securities Act”), or any successor form) are eligible to be granted Awards under the Plan. Each person who is granted an Award under the Plan is deemed a “Participant.” The Plan provides for the following types of awards, each of which is referred to as an “Award”: Options (as defined in Section 5), SARs (as defined in Section 6), Restricted Stock (as defined in Section 7), Restricted Stock Units (as defined in Section 7) and Other Stock-Based Awards (as defined in Section 8) and Cash-Based Awards (as defined in Section 8).</w:t>
      </w:r>
    </w:p>
    <w:p>
      <w:pPr>
        <w:spacing w:after="0" w:line="200" w:lineRule="exact"/>
        <w:rPr>
          <w:sz w:val="20"/>
          <w:szCs w:val="20"/>
          <w:color w:val="auto"/>
        </w:rPr>
      </w:pPr>
    </w:p>
    <w:p>
      <w:pPr>
        <w:spacing w:after="0" w:line="230" w:lineRule="exact"/>
        <w:rPr>
          <w:sz w:val="20"/>
          <w:szCs w:val="20"/>
          <w:color w:val="auto"/>
        </w:rPr>
      </w:pPr>
    </w:p>
    <w:p>
      <w:pPr>
        <w:ind w:left="180" w:hanging="172"/>
        <w:spacing w:after="0"/>
        <w:tabs>
          <w:tab w:leader="none" w:pos="1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and Delegation</w:t>
      </w:r>
    </w:p>
    <w:p>
      <w:pPr>
        <w:spacing w:after="0" w:line="117" w:lineRule="exact"/>
        <w:rPr>
          <w:rFonts w:ascii="Times New Roman" w:cs="Times New Roman" w:eastAsia="Times New Roman" w:hAnsi="Times New Roman"/>
          <w:sz w:val="18"/>
          <w:szCs w:val="18"/>
          <w:color w:val="auto"/>
        </w:rPr>
      </w:pPr>
    </w:p>
    <w:p>
      <w:pPr>
        <w:ind w:firstLine="449"/>
        <w:spacing w:after="0" w:line="253" w:lineRule="auto"/>
        <w:tabs>
          <w:tab w:leader="none" w:pos="68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xml:space="preserve"> The Plan will be administered by the Board. Subject to and consistent with the provisions of the Plan, the Board shall have the authority and discretion to: (i) determine which eligible employees, officers, directors, consultants and advisors will receive Awards, (ii) determine the number of shares of Common Stock (as hereinafter defined), cash, or other consideration to be covered by each Award, (iii) determine the terms and conditions of any Award (including Fair Market Value (as hereinafter defined), the exercise price, the vesting schedule, the term of the Award, and the period following termination from employment or service during which an Award may be exercised), (iv) approve forms of Award agreements and other documentation for use under the Plan, (v) adopt, alter, and repeal administrative rules, guidelines, and practices governing the operation of the Plan, (vi) interpret the provisions of the Plan and any Award documentation and remedy any ambiguities, omissions, or inconsistencies therein, (vii) modify or amend Awards, or grant waivers of Plan or Award conditions, (viii) determine the nature and provisions of Other Stock-Based Awards (as hereinafter defined) permitted pursuant to Section 8, and (ix) make all other determinations necessary or advisable for the administration of the Plan.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89" w:lineRule="exact"/>
        <w:rPr>
          <w:rFonts w:ascii="Times New Roman" w:cs="Times New Roman" w:eastAsia="Times New Roman" w:hAnsi="Times New Roman"/>
          <w:sz w:val="18"/>
          <w:szCs w:val="18"/>
          <w:color w:val="auto"/>
        </w:rPr>
      </w:pPr>
    </w:p>
    <w:p>
      <w:pPr>
        <w:ind w:right="60" w:firstLine="449"/>
        <w:spacing w:after="0" w:line="261" w:lineRule="auto"/>
        <w:tabs>
          <w:tab w:leader="none" w:pos="69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 Notwithstanding the foregoing, for purposes of granting Awards to directors, the Committee shall mean the Compensation Committee.</w:t>
      </w:r>
    </w:p>
    <w:p>
      <w:pPr>
        <w:spacing w:after="0" w:line="179" w:lineRule="exact"/>
        <w:rPr>
          <w:rFonts w:ascii="Times New Roman" w:cs="Times New Roman" w:eastAsia="Times New Roman" w:hAnsi="Times New Roman"/>
          <w:sz w:val="18"/>
          <w:szCs w:val="18"/>
          <w:color w:val="auto"/>
        </w:rPr>
      </w:pPr>
    </w:p>
    <w:p>
      <w:pPr>
        <w:ind w:firstLine="449"/>
        <w:spacing w:after="0" w:line="255" w:lineRule="auto"/>
        <w:tabs>
          <w:tab w:leader="none" w:pos="68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Officers</w:t>
      </w:r>
      <w:r>
        <w:rPr>
          <w:rFonts w:ascii="Times New Roman" w:cs="Times New Roman" w:eastAsia="Times New Roman" w:hAnsi="Times New Roman"/>
          <w:sz w:val="18"/>
          <w:szCs w:val="18"/>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“Exchange Act”)), or to any “officer” of the Company (as defined by Rule 16a-1(f) under the Exchange Act).”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769" w:right="359" w:bottom="1440" w:gutter="0" w:footer="0" w:header="0"/>
        </w:sectPr>
      </w:pPr>
    </w:p>
    <w:bookmarkStart w:id="62" w:name="page63"/>
    <w:bookmarkEnd w:id="62"/>
    <w:p>
      <w:pPr>
        <w:ind w:left="-8" w:right="680" w:firstLine="449"/>
        <w:spacing w:after="0" w:line="282" w:lineRule="auto"/>
        <w:tabs>
          <w:tab w:leader="none" w:pos="68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to Non-Employee Directors</w:t>
      </w:r>
      <w:r>
        <w:rPr>
          <w:rFonts w:ascii="Times New Roman" w:cs="Times New Roman" w:eastAsia="Times New Roman" w:hAnsi="Times New Roman"/>
          <w:sz w:val="18"/>
          <w:szCs w:val="18"/>
          <w:color w:val="auto"/>
        </w:rPr>
        <w:t>. Awards to non-employee directors will only be granted and administered by a Committee, all of the members of which are independent as defined by Section 5605(a)(2) of the NASDAQ Marketplace Rules.</w:t>
      </w:r>
    </w:p>
    <w:p>
      <w:pPr>
        <w:spacing w:after="0" w:line="269"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Available for Awards</w:t>
      </w:r>
    </w:p>
    <w:p>
      <w:pPr>
        <w:spacing w:after="0" w:line="117" w:lineRule="exact"/>
        <w:rPr>
          <w:rFonts w:ascii="Times New Roman" w:cs="Times New Roman" w:eastAsia="Times New Roman" w:hAnsi="Times New Roman"/>
          <w:sz w:val="18"/>
          <w:szCs w:val="18"/>
          <w:color w:val="auto"/>
        </w:rPr>
      </w:pPr>
    </w:p>
    <w:p>
      <w:pPr>
        <w:ind w:left="-8" w:firstLine="449"/>
        <w:spacing w:after="0" w:line="282" w:lineRule="auto"/>
        <w:tabs>
          <w:tab w:leader="none" w:pos="67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9, Awards may be made under the Plan for up to such number of shares of common stock, $0.01 par value per share, of the Company (the “Common Stock”) as is equal to the sum of:</w:t>
      </w:r>
    </w:p>
    <w:p>
      <w:pPr>
        <w:spacing w:after="0" w:line="53" w:lineRule="exact"/>
        <w:rPr>
          <w:rFonts w:ascii="Times New Roman" w:cs="Times New Roman" w:eastAsia="Times New Roman" w:hAnsi="Times New Roman"/>
          <w:sz w:val="18"/>
          <w:szCs w:val="18"/>
          <w:color w:val="auto"/>
        </w:rPr>
      </w:pPr>
    </w:p>
    <w:p>
      <w:pPr>
        <w:ind w:left="1252" w:hanging="260"/>
        <w:spacing w:after="0"/>
        <w:tabs>
          <w:tab w:leader="none" w:pos="1252"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26,500,000 of Common Stock; and</w:t>
      </w:r>
    </w:p>
    <w:p>
      <w:pPr>
        <w:spacing w:after="0" w:line="117" w:lineRule="exact"/>
        <w:rPr>
          <w:rFonts w:ascii="Times New Roman" w:cs="Times New Roman" w:eastAsia="Times New Roman" w:hAnsi="Times New Roman"/>
          <w:sz w:val="18"/>
          <w:szCs w:val="18"/>
          <w:color w:val="auto"/>
        </w:rPr>
      </w:pPr>
    </w:p>
    <w:p>
      <w:pPr>
        <w:ind w:left="-8" w:right="40" w:firstLine="1006"/>
        <w:spacing w:after="0" w:line="254" w:lineRule="auto"/>
        <w:tabs>
          <w:tab w:leader="none" w:pos="124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number of shares of Common Stock as is equal to the sum of (i) the number of shares of Common Stock reserved for issuance under the Company’s 2009 Stock Incentive Plan (the “2009 Plan”) that remained available for grant immediately prior to the date this Plan was first approved by the Company’s stockholders and (ii) the number of shares of Common Stock subject to awards granted under the 2009 Plan, the Company’s Second Amended and Restated 1998 Stock Incentive Plan, the Company’s 2001 Stock Incentive Plan and the Company’s 2006 Stock Incentive Plan (together, the “Existing Plans”) which awards expire, terminate or are otherwise surrendered, cancelled, forfeited or repurchased by the Company at their original issuance price pursuant to a contractual repurchase right (subject, however, in the case of Incentive Stock Options to any limitations of the Code). Shares of Common Stock issued under the Plan may consist in whole or in part of authorized but unissued shares, treasury shares or shares purchased on the open market. Up to five million (5,000,000) shares of Common Stock shall be available under the Plan for Awards in the form of Incentive Stock Options (as defined in Section 5(b)).</w:t>
      </w:r>
    </w:p>
    <w:p>
      <w:pPr>
        <w:spacing w:after="0" w:line="188" w:lineRule="exact"/>
        <w:rPr>
          <w:rFonts w:ascii="Times New Roman" w:cs="Times New Roman" w:eastAsia="Times New Roman" w:hAnsi="Times New Roman"/>
          <w:sz w:val="18"/>
          <w:szCs w:val="18"/>
          <w:color w:val="auto"/>
        </w:rPr>
      </w:pPr>
    </w:p>
    <w:p>
      <w:pPr>
        <w:ind w:left="-8" w:right="380" w:firstLine="449"/>
        <w:spacing w:after="0" w:line="282" w:lineRule="auto"/>
        <w:tabs>
          <w:tab w:leader="none" w:pos="6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grant of Awards under the Plan pursuant to Section 4(a) and the sublimit contained in Section 4(c)(1):</w:t>
      </w:r>
    </w:p>
    <w:p>
      <w:pPr>
        <w:spacing w:after="0" w:line="53" w:lineRule="exact"/>
        <w:rPr>
          <w:rFonts w:ascii="Times New Roman" w:cs="Times New Roman" w:eastAsia="Times New Roman" w:hAnsi="Times New Roman"/>
          <w:sz w:val="18"/>
          <w:szCs w:val="18"/>
          <w:color w:val="auto"/>
        </w:rPr>
      </w:pPr>
    </w:p>
    <w:p>
      <w:pPr>
        <w:ind w:left="-8" w:right="20" w:firstLine="1000"/>
        <w:spacing w:after="0" w:line="258" w:lineRule="auto"/>
        <w:tabs>
          <w:tab w:leader="none" w:pos="1238"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covered by SARs shall be counted against the number of shares available for the grant of Awards under the Plan and against the sublimit listed in the first clause of this Section 4(b); provided, however, that (i) SARs that may be settled only in cash shall not be so counted and (ii) if the Company grants an SAR in tandem with an Option for the same number of shares of Common Stock and provides that only one such Award may be exercised (a “Tandem SAR”), only the shares covered by the Option, and not the shares covered by the Tandem SAR, shall be so counted, and the expiration of one in connection with the other’s exercise will not restore shares to the Plan;</w:t>
      </w:r>
    </w:p>
    <w:p>
      <w:pPr>
        <w:spacing w:after="0" w:line="183" w:lineRule="exact"/>
        <w:rPr>
          <w:rFonts w:ascii="Times New Roman" w:cs="Times New Roman" w:eastAsia="Times New Roman" w:hAnsi="Times New Roman"/>
          <w:sz w:val="18"/>
          <w:szCs w:val="18"/>
          <w:color w:val="auto"/>
        </w:rPr>
      </w:pPr>
    </w:p>
    <w:p>
      <w:pPr>
        <w:ind w:left="-8" w:right="60" w:firstLine="1000"/>
        <w:spacing w:after="0" w:line="254" w:lineRule="auto"/>
        <w:tabs>
          <w:tab w:leader="none" w:pos="1238"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provided, however, that (1) in the case of Incentive Stock Options, the foregoing shall be subject to any limitations under the Code, (2) in the case of the exercise of an SAR, the number of shares counted against the shares available under the Plan and against the sublimit listed in the first clause of this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147" w:lineRule="exact"/>
        <w:rPr>
          <w:rFonts w:ascii="Times New Roman" w:cs="Times New Roman" w:eastAsia="Times New Roman" w:hAnsi="Times New Roman"/>
          <w:sz w:val="18"/>
          <w:szCs w:val="18"/>
          <w:color w:val="auto"/>
        </w:rPr>
      </w:pPr>
    </w:p>
    <w:p>
      <w:pPr>
        <w:ind w:left="-8" w:right="40" w:firstLine="1006"/>
        <w:spacing w:after="0" w:line="266" w:lineRule="auto"/>
        <w:tabs>
          <w:tab w:leader="none" w:pos="124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(either by actual delivery, attestation, or net exercise) to the Company by a Participant to (i) purchase shares of Common Stock upon the exercise of an Award or (ii) satisfy tax withholding obligations with respect to an Award (including shares retained from the Award creating the tax obligation) shall not be added back to the number of shares available for the future grant of Awards; and</w:t>
      </w:r>
    </w:p>
    <w:p>
      <w:pPr>
        <w:spacing w:after="0" w:line="175" w:lineRule="exact"/>
        <w:rPr>
          <w:rFonts w:ascii="Times New Roman" w:cs="Times New Roman" w:eastAsia="Times New Roman" w:hAnsi="Times New Roman"/>
          <w:sz w:val="18"/>
          <w:szCs w:val="18"/>
          <w:color w:val="auto"/>
        </w:rPr>
      </w:pPr>
    </w:p>
    <w:p>
      <w:pPr>
        <w:ind w:left="-8" w:right="300" w:firstLine="1000"/>
        <w:spacing w:after="0" w:line="282" w:lineRule="auto"/>
        <w:tabs>
          <w:tab w:leader="none" w:pos="1238"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repurchased by the Company on the open market using the proceeds from the exercise of an Award shall not increase the number of shares available for future grant of Awards.</w:t>
      </w:r>
    </w:p>
    <w:p>
      <w:pPr>
        <w:spacing w:after="0" w:line="161" w:lineRule="exact"/>
        <w:rPr>
          <w:rFonts w:ascii="Times New Roman" w:cs="Times New Roman" w:eastAsia="Times New Roman" w:hAnsi="Times New Roman"/>
          <w:sz w:val="18"/>
          <w:szCs w:val="18"/>
          <w:color w:val="auto"/>
        </w:rPr>
      </w:pPr>
    </w:p>
    <w:p>
      <w:pPr>
        <w:ind w:left="692" w:hanging="251"/>
        <w:spacing w:after="0"/>
        <w:tabs>
          <w:tab w:leader="none" w:pos="69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Sub-limits</w:t>
      </w:r>
      <w:r>
        <w:rPr>
          <w:rFonts w:ascii="Times New Roman" w:cs="Times New Roman" w:eastAsia="Times New Roman" w:hAnsi="Times New Roman"/>
          <w:sz w:val="18"/>
          <w:szCs w:val="18"/>
          <w:color w:val="auto"/>
        </w:rPr>
        <w:t>. Subject to adjustment under Section 9, the following sub-limits on the number of shares subject to Awards shall apply:</w:t>
      </w:r>
    </w:p>
    <w:p>
      <w:pPr>
        <w:spacing w:after="0" w:line="117" w:lineRule="exact"/>
        <w:rPr>
          <w:rFonts w:ascii="Times New Roman" w:cs="Times New Roman" w:eastAsia="Times New Roman" w:hAnsi="Times New Roman"/>
          <w:sz w:val="18"/>
          <w:szCs w:val="18"/>
          <w:color w:val="auto"/>
        </w:rPr>
      </w:pPr>
    </w:p>
    <w:p>
      <w:pPr>
        <w:ind w:left="-8" w:right="200" w:firstLine="1000"/>
        <w:spacing w:after="0" w:line="258" w:lineRule="auto"/>
        <w:tabs>
          <w:tab w:leader="none" w:pos="1238"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Per-Participant Limit</w:t>
      </w:r>
      <w:r>
        <w:rPr>
          <w:rFonts w:ascii="Times New Roman" w:cs="Times New Roman" w:eastAsia="Times New Roman" w:hAnsi="Times New Roman"/>
          <w:sz w:val="18"/>
          <w:szCs w:val="18"/>
          <w:color w:val="auto"/>
        </w:rPr>
        <w:t>. Subject to adjustment under Section 9, the maximum number of shares of Common Stock with respect to which Awards may be granted to any Participant under the Plan shall be 1,000,000 per calendar year. For purposes of the foregoing limit, the combination of an Option in tandem with a SAR (as each is hereafter defined) shall be treated as a single Award. The per-Participant limit described in this Section 4(c)(1) shall be construed and applied consistently with Section 162(m) of the Code or any successor provision thereto, and the regulations thereunder (“Section 162(m)”).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12"/>
          </w:cols>
          <w:pgMar w:left="328" w:top="985" w:right="359" w:bottom="1440" w:gutter="0" w:footer="0" w:header="0"/>
        </w:sectPr>
      </w:pPr>
    </w:p>
    <w:bookmarkStart w:id="63" w:name="page64"/>
    <w:bookmarkEnd w:id="63"/>
    <w:p>
      <w:pPr>
        <w:ind w:left="-8" w:right="60" w:firstLine="1000"/>
        <w:spacing w:after="0" w:line="258" w:lineRule="auto"/>
        <w:tabs>
          <w:tab w:leader="none" w:pos="1238"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Awards to Non-Employee Directors</w:t>
      </w:r>
      <w:r>
        <w:rPr>
          <w:rFonts w:ascii="Times New Roman" w:cs="Times New Roman" w:eastAsia="Times New Roman" w:hAnsi="Times New Roman"/>
          <w:sz w:val="18"/>
          <w:szCs w:val="18"/>
          <w:color w:val="auto"/>
        </w:rPr>
        <w:t>. The maximum amount of cash and equity compensation (calculated in the case of equity awards based on grant date fair value for financial reporting purposes) granted in any calendar year to any individual non-employee director shall not exceed $1,000,000. The Board of Directors may make exceptions to this limit for individual non-employee directors in extraordinary circumstances, as the Board of Directors may determine in its discretion, provided that the non-employee director receiving such additional compensation may not participate in the decision to award such compensation.</w:t>
      </w:r>
    </w:p>
    <w:p>
      <w:pPr>
        <w:spacing w:after="0" w:line="183" w:lineRule="exact"/>
        <w:rPr>
          <w:rFonts w:ascii="Times New Roman" w:cs="Times New Roman" w:eastAsia="Times New Roman" w:hAnsi="Times New Roman"/>
          <w:sz w:val="18"/>
          <w:szCs w:val="18"/>
          <w:color w:val="auto"/>
        </w:rPr>
      </w:pPr>
    </w:p>
    <w:p>
      <w:pPr>
        <w:ind w:left="-8" w:right="80" w:firstLine="449"/>
        <w:spacing w:after="0" w:line="258" w:lineRule="auto"/>
        <w:tabs>
          <w:tab w:leader="none" w:pos="68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or any sublimits contained in the Plan, except as may be required by reason of Section 422 and related provisions of the Code.</w:t>
      </w:r>
    </w:p>
    <w:p>
      <w:pPr>
        <w:spacing w:after="0" w:line="291"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117" w:lineRule="exact"/>
        <w:rPr>
          <w:rFonts w:ascii="Times New Roman" w:cs="Times New Roman" w:eastAsia="Times New Roman" w:hAnsi="Times New Roman"/>
          <w:sz w:val="18"/>
          <w:szCs w:val="18"/>
          <w:color w:val="auto"/>
        </w:rPr>
      </w:pPr>
    </w:p>
    <w:p>
      <w:pPr>
        <w:ind w:left="-8" w:right="100" w:firstLine="449"/>
        <w:spacing w:after="0" w:line="261" w:lineRule="auto"/>
        <w:tabs>
          <w:tab w:leader="none" w:pos="67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52" w:lineRule="exact"/>
        <w:rPr>
          <w:rFonts w:ascii="Times New Roman" w:cs="Times New Roman" w:eastAsia="Times New Roman" w:hAnsi="Times New Roman"/>
          <w:sz w:val="18"/>
          <w:szCs w:val="18"/>
          <w:color w:val="auto"/>
        </w:rPr>
      </w:pPr>
    </w:p>
    <w:p>
      <w:pPr>
        <w:ind w:left="-8" w:firstLine="449"/>
        <w:spacing w:after="0" w:line="253" w:lineRule="auto"/>
        <w:tabs>
          <w:tab w:leader="none" w:pos="68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Option that the Board intends to be an “incentive stock option” as defined in Section 422 of the Code (an “Incentive Stock Option”) shall only be granted to employees of Akamai, any of Akamai’s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If the Fair Market Value (as defined below) of shares on the date of grant with respect to which Incentive Stock Options are exercisable for the first time by a Participant during any calendar year exceeds $100,000, the Options for the first $100,000 worth of shares to become exercisable in that calendar year will be Incentive Stock Options, and the Options for the shares with a Fair Market Value (as defined below) in excess of $100,000 that become exercisable in that calendar year will be Nonstatutory Stock Options. The Company shall have no liability to a Participant, or any other person,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194" w:lineRule="exact"/>
        <w:rPr>
          <w:rFonts w:ascii="Times New Roman" w:cs="Times New Roman" w:eastAsia="Times New Roman" w:hAnsi="Times New Roman"/>
          <w:sz w:val="18"/>
          <w:szCs w:val="18"/>
          <w:color w:val="auto"/>
        </w:rPr>
      </w:pPr>
    </w:p>
    <w:p>
      <w:pPr>
        <w:ind w:left="-8" w:right="140" w:firstLine="449"/>
        <w:spacing w:after="0" w:line="261" w:lineRule="auto"/>
        <w:tabs>
          <w:tab w:leader="none" w:pos="67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Board shall establish the exercise price of each Option or the formula by which such exercise price shall be determined. The exercise price shall be specified in the applicable option agreement; provided, however, that the exercise price shall not be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w:t>
      </w:r>
    </w:p>
    <w:p>
      <w:pPr>
        <w:spacing w:after="0" w:line="179" w:lineRule="exact"/>
        <w:rPr>
          <w:rFonts w:ascii="Times New Roman" w:cs="Times New Roman" w:eastAsia="Times New Roman" w:hAnsi="Times New Roman"/>
          <w:sz w:val="18"/>
          <w:szCs w:val="18"/>
          <w:color w:val="auto"/>
        </w:rPr>
      </w:pPr>
    </w:p>
    <w:p>
      <w:pPr>
        <w:ind w:left="-8" w:firstLine="449"/>
        <w:spacing w:after="0" w:line="255" w:lineRule="auto"/>
        <w:tabs>
          <w:tab w:leader="none" w:pos="68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of Options</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canceled option, (3) cancel in exchange for a cash payment any outstanding Option with an exercise price per share above the then-current Fair Market Value, or (4) take any other action under the Plan that constitutes a “repricing” within the meaning of the rules of the NASDAQ Stock Market (“NASDAQ”).</w:t>
      </w:r>
    </w:p>
    <w:p>
      <w:pPr>
        <w:spacing w:after="0" w:line="148" w:lineRule="exact"/>
        <w:rPr>
          <w:rFonts w:ascii="Times New Roman" w:cs="Times New Roman" w:eastAsia="Times New Roman" w:hAnsi="Times New Roman"/>
          <w:sz w:val="18"/>
          <w:szCs w:val="18"/>
          <w:color w:val="auto"/>
        </w:rPr>
      </w:pPr>
    </w:p>
    <w:p>
      <w:pPr>
        <w:ind w:left="-8" w:right="360" w:firstLine="449"/>
        <w:spacing w:after="0" w:line="282" w:lineRule="auto"/>
        <w:tabs>
          <w:tab w:leader="none" w:pos="67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Each Option shall be exercisable at such times and subject to such terms and conditions as the Board may specify in the applicable option agreement; provided however, that no Option will be granted for a term in excess of 7 years.</w:t>
      </w:r>
    </w:p>
    <w:p>
      <w:pPr>
        <w:spacing w:after="0" w:line="161" w:lineRule="exact"/>
        <w:rPr>
          <w:rFonts w:ascii="Times New Roman" w:cs="Times New Roman" w:eastAsia="Times New Roman" w:hAnsi="Times New Roman"/>
          <w:sz w:val="18"/>
          <w:szCs w:val="18"/>
          <w:color w:val="auto"/>
        </w:rPr>
      </w:pPr>
    </w:p>
    <w:p>
      <w:pPr>
        <w:ind w:left="-8" w:right="120" w:firstLine="449"/>
        <w:spacing w:after="0" w:line="261" w:lineRule="auto"/>
        <w:tabs>
          <w:tab w:leader="none" w:pos="65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Options may be exercised by delivery to the Company of a notice of exercise signed by the proper person or by any other form of notice (including electronic notice) approved by the Board together with payment in full as specified in Section 5(g) for the number of shares for which the Option is exercised. Shares of Common Stock subject to the Option will be delivered by the Company following exercise as soon as practicable following exercise.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12"/>
          </w:cols>
          <w:pgMar w:left="328" w:top="985" w:right="359" w:bottom="1440" w:gutter="0" w:footer="0" w:header="0"/>
        </w:sectPr>
      </w:pPr>
    </w:p>
    <w:bookmarkStart w:id="64" w:name="page65"/>
    <w:bookmarkEnd w:id="64"/>
    <w:p>
      <w:pPr>
        <w:ind w:left="692" w:hanging="251"/>
        <w:spacing w:after="0"/>
        <w:tabs>
          <w:tab w:leader="none" w:pos="69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the Plan shall be paid for as follows:</w:t>
      </w:r>
    </w:p>
    <w:p>
      <w:pPr>
        <w:spacing w:after="0" w:line="117" w:lineRule="exact"/>
        <w:rPr>
          <w:rFonts w:ascii="Times New Roman" w:cs="Times New Roman" w:eastAsia="Times New Roman" w:hAnsi="Times New Roman"/>
          <w:sz w:val="18"/>
          <w:szCs w:val="18"/>
          <w:color w:val="auto"/>
        </w:rPr>
      </w:pPr>
    </w:p>
    <w:p>
      <w:pPr>
        <w:ind w:left="1252" w:hanging="260"/>
        <w:spacing w:after="0"/>
        <w:tabs>
          <w:tab w:leader="none" w:pos="125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auto"/>
        </w:rPr>
      </w:pPr>
    </w:p>
    <w:p>
      <w:pPr>
        <w:ind w:left="-8" w:right="200" w:firstLine="1000"/>
        <w:spacing w:after="0" w:line="261" w:lineRule="auto"/>
        <w:tabs>
          <w:tab w:leader="none" w:pos="1238"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9" w:lineRule="exact"/>
        <w:rPr>
          <w:rFonts w:ascii="Times New Roman" w:cs="Times New Roman" w:eastAsia="Times New Roman" w:hAnsi="Times New Roman"/>
          <w:sz w:val="18"/>
          <w:szCs w:val="18"/>
          <w:color w:val="auto"/>
        </w:rPr>
      </w:pPr>
    </w:p>
    <w:p>
      <w:pPr>
        <w:ind w:left="-8" w:firstLine="1000"/>
        <w:spacing w:after="0" w:line="258" w:lineRule="auto"/>
        <w:tabs>
          <w:tab w:leader="none" w:pos="1238"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83" w:lineRule="exact"/>
        <w:rPr>
          <w:rFonts w:ascii="Times New Roman" w:cs="Times New Roman" w:eastAsia="Times New Roman" w:hAnsi="Times New Roman"/>
          <w:sz w:val="18"/>
          <w:szCs w:val="18"/>
          <w:color w:val="auto"/>
        </w:rPr>
      </w:pPr>
    </w:p>
    <w:p>
      <w:pPr>
        <w:ind w:left="-8" w:firstLine="1000"/>
        <w:spacing w:after="0" w:line="261" w:lineRule="auto"/>
        <w:tabs>
          <w:tab w:leader="none" w:pos="1238"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179" w:lineRule="exact"/>
        <w:rPr>
          <w:rFonts w:ascii="Times New Roman" w:cs="Times New Roman" w:eastAsia="Times New Roman" w:hAnsi="Times New Roman"/>
          <w:sz w:val="18"/>
          <w:szCs w:val="18"/>
          <w:color w:val="auto"/>
        </w:rPr>
      </w:pPr>
    </w:p>
    <w:p>
      <w:pPr>
        <w:ind w:left="-8" w:right="240" w:firstLine="1000"/>
        <w:spacing w:after="0" w:line="282" w:lineRule="auto"/>
        <w:tabs>
          <w:tab w:leader="none" w:pos="1238"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w:t>
      </w:r>
    </w:p>
    <w:p>
      <w:pPr>
        <w:spacing w:after="0" w:line="107" w:lineRule="exact"/>
        <w:rPr>
          <w:rFonts w:ascii="Times New Roman" w:cs="Times New Roman" w:eastAsia="Times New Roman" w:hAnsi="Times New Roman"/>
          <w:sz w:val="18"/>
          <w:szCs w:val="18"/>
          <w:color w:val="auto"/>
        </w:rPr>
      </w:pPr>
    </w:p>
    <w:p>
      <w:pPr>
        <w:ind w:left="1252" w:hanging="254"/>
        <w:spacing w:after="0"/>
        <w:tabs>
          <w:tab w:leader="none" w:pos="125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25" w:lineRule="exact"/>
        <w:rPr>
          <w:rFonts w:ascii="Times New Roman" w:cs="Times New Roman" w:eastAsia="Times New Roman" w:hAnsi="Times New Roman"/>
          <w:sz w:val="18"/>
          <w:szCs w:val="18"/>
          <w:color w:val="auto"/>
        </w:rPr>
      </w:pPr>
    </w:p>
    <w:p>
      <w:pPr>
        <w:ind w:left="-8" w:right="80" w:firstLine="449"/>
        <w:spacing w:after="0" w:line="282" w:lineRule="auto"/>
        <w:tabs>
          <w:tab w:leader="none" w:pos="68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Rights</w:t>
      </w:r>
      <w:r>
        <w:rPr>
          <w:rFonts w:ascii="Times New Roman" w:cs="Times New Roman" w:eastAsia="Times New Roman" w:hAnsi="Times New Roman"/>
          <w:sz w:val="18"/>
          <w:szCs w:val="18"/>
          <w:color w:val="auto"/>
        </w:rPr>
        <w:t>. No option granted under the Plan shall contain any provision entitling the grantee to the automatic grant of additional Options in connection with any exercise of the original Option.</w:t>
      </w:r>
    </w:p>
    <w:p>
      <w:pPr>
        <w:spacing w:after="0" w:line="161" w:lineRule="exact"/>
        <w:rPr>
          <w:rFonts w:ascii="Times New Roman" w:cs="Times New Roman" w:eastAsia="Times New Roman" w:hAnsi="Times New Roman"/>
          <w:sz w:val="18"/>
          <w:szCs w:val="18"/>
          <w:color w:val="auto"/>
        </w:rPr>
      </w:pPr>
    </w:p>
    <w:p>
      <w:pPr>
        <w:ind w:left="652" w:hanging="211"/>
        <w:spacing w:after="0"/>
        <w:tabs>
          <w:tab w:leader="none" w:pos="65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the payment or accrual of dividend equivalents.</w:t>
      </w:r>
    </w:p>
    <w:p>
      <w:pPr>
        <w:spacing w:after="0" w:line="33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117" w:lineRule="exact"/>
        <w:rPr>
          <w:rFonts w:ascii="Times New Roman" w:cs="Times New Roman" w:eastAsia="Times New Roman" w:hAnsi="Times New Roman"/>
          <w:sz w:val="18"/>
          <w:szCs w:val="18"/>
          <w:color w:val="auto"/>
        </w:rPr>
      </w:pPr>
    </w:p>
    <w:p>
      <w:pPr>
        <w:ind w:left="-8" w:firstLine="449"/>
        <w:spacing w:after="0" w:line="261" w:lineRule="auto"/>
        <w:tabs>
          <w:tab w:leader="none" w:pos="67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a Stock Appreciation Right (“SAR”) entitling the holder, upon exercise, to receive an amount in Common Stock or cash or a combination thereof (such form to be determined by the Board determined by reference to appreciation, from and after the date of grant, in the Fair Market Value of a share of Common Stock over the grant price established pursuant to Section 6(c)). The date as of which such appreciation is determined shall be the exercise date.</w:t>
      </w:r>
    </w:p>
    <w:p>
      <w:pPr>
        <w:spacing w:after="0" w:line="179" w:lineRule="exact"/>
        <w:rPr>
          <w:rFonts w:ascii="Times New Roman" w:cs="Times New Roman" w:eastAsia="Times New Roman" w:hAnsi="Times New Roman"/>
          <w:sz w:val="18"/>
          <w:szCs w:val="18"/>
          <w:color w:val="auto"/>
        </w:rPr>
      </w:pPr>
    </w:p>
    <w:p>
      <w:pPr>
        <w:ind w:left="692" w:hanging="251"/>
        <w:spacing w:after="0"/>
        <w:tabs>
          <w:tab w:leader="none" w:pos="6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Stock Appreciation Rights may be granted in tandem with, or independently of, Options granted under the Plan.</w:t>
      </w:r>
    </w:p>
    <w:p>
      <w:pPr>
        <w:spacing w:after="0" w:line="225" w:lineRule="exact"/>
        <w:rPr>
          <w:rFonts w:ascii="Times New Roman" w:cs="Times New Roman" w:eastAsia="Times New Roman" w:hAnsi="Times New Roman"/>
          <w:sz w:val="18"/>
          <w:szCs w:val="18"/>
          <w:color w:val="auto"/>
        </w:rPr>
      </w:pPr>
    </w:p>
    <w:p>
      <w:pPr>
        <w:ind w:left="-8" w:right="40" w:firstLine="1000"/>
        <w:spacing w:after="0" w:line="254" w:lineRule="auto"/>
        <w:tabs>
          <w:tab w:leader="none" w:pos="1238"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Awards</w:t>
      </w:r>
      <w:r>
        <w:rPr>
          <w:rFonts w:ascii="Times New Roman" w:cs="Times New Roman" w:eastAsia="Times New Roman" w:hAnsi="Times New Roman"/>
          <w:sz w:val="18"/>
          <w:szCs w:val="18"/>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191" w:lineRule="exact"/>
        <w:rPr>
          <w:rFonts w:ascii="Times New Roman" w:cs="Times New Roman" w:eastAsia="Times New Roman" w:hAnsi="Times New Roman"/>
          <w:sz w:val="18"/>
          <w:szCs w:val="18"/>
          <w:color w:val="auto"/>
        </w:rPr>
      </w:pPr>
    </w:p>
    <w:p>
      <w:pPr>
        <w:ind w:left="-8" w:right="140" w:firstLine="1000"/>
        <w:spacing w:after="0" w:line="282" w:lineRule="auto"/>
        <w:tabs>
          <w:tab w:leader="none" w:pos="1238"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SARs</w:t>
      </w:r>
      <w:r>
        <w:rPr>
          <w:rFonts w:ascii="Times New Roman" w:cs="Times New Roman" w:eastAsia="Times New Roman" w:hAnsi="Times New Roman"/>
          <w:sz w:val="18"/>
          <w:szCs w:val="18"/>
          <w:color w:val="auto"/>
        </w:rPr>
        <w:t>. A Stock Appreciation Right not expressly granted in tandem with an Option will become exercisable at such time or times, and on such conditions, as the Board may specify in the SAR agreement.</w:t>
      </w:r>
    </w:p>
    <w:p>
      <w:pPr>
        <w:spacing w:after="0" w:line="161" w:lineRule="exact"/>
        <w:rPr>
          <w:rFonts w:ascii="Times New Roman" w:cs="Times New Roman" w:eastAsia="Times New Roman" w:hAnsi="Times New Roman"/>
          <w:sz w:val="18"/>
          <w:szCs w:val="18"/>
          <w:color w:val="auto"/>
        </w:rPr>
      </w:pPr>
    </w:p>
    <w:p>
      <w:pPr>
        <w:ind w:left="-8" w:right="180" w:firstLine="449"/>
        <w:spacing w:after="0" w:line="266" w:lineRule="auto"/>
        <w:tabs>
          <w:tab w:leader="none" w:pos="67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Price</w:t>
      </w:r>
      <w:r>
        <w:rPr>
          <w:rFonts w:ascii="Times New Roman" w:cs="Times New Roman" w:eastAsia="Times New Roman" w:hAnsi="Times New Roman"/>
          <w:sz w:val="18"/>
          <w:szCs w:val="18"/>
          <w:color w:val="auto"/>
        </w:rPr>
        <w:t>. The Board shall establish the grant price or exercise price of a SAR or the formula by which such exercise or grant price will be determined. The exercise or grant price shall be specified in the applicable SAR agreement. The exercise or grant price shall not be less than 100% of the Fair Market Value per share of Common Stock on the date of grant of the SAR, provided that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12"/>
          </w:cols>
          <w:pgMar w:left="328" w:top="985" w:right="359" w:bottom="1440" w:gutter="0" w:footer="0" w:header="0"/>
        </w:sectPr>
      </w:pPr>
    </w:p>
    <w:bookmarkStart w:id="65" w:name="page66"/>
    <w:bookmarkEnd w:id="65"/>
    <w:p>
      <w:pPr>
        <w:ind w:right="100"/>
        <w:spacing w:after="0" w:line="282" w:lineRule="auto"/>
        <w:rPr>
          <w:sz w:val="20"/>
          <w:szCs w:val="20"/>
          <w:color w:val="auto"/>
        </w:rPr>
      </w:pPr>
      <w:r>
        <w:rPr>
          <w:rFonts w:ascii="Times New Roman" w:cs="Times New Roman" w:eastAsia="Times New Roman" w:hAnsi="Times New Roman"/>
          <w:sz w:val="18"/>
          <w:szCs w:val="18"/>
          <w:color w:val="auto"/>
        </w:rPr>
        <w:t>if the Board approved the grant of the SAR effective as of a future date, the grant price shall be not less than 100% of the Fair Market Value on such future date.</w:t>
      </w:r>
    </w:p>
    <w:p>
      <w:pPr>
        <w:spacing w:after="0" w:line="135" w:lineRule="exact"/>
        <w:rPr>
          <w:sz w:val="20"/>
          <w:szCs w:val="20"/>
          <w:color w:val="auto"/>
        </w:rPr>
      </w:pPr>
    </w:p>
    <w:p>
      <w:pPr>
        <w:ind w:left="700" w:hanging="251"/>
        <w:spacing w:after="0"/>
        <w:tabs>
          <w:tab w:leader="none" w:pos="7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a SAR shall not be more than 7 years from the date of grant.</w:t>
      </w:r>
    </w:p>
    <w:p>
      <w:pPr>
        <w:spacing w:after="0" w:line="225" w:lineRule="exact"/>
        <w:rPr>
          <w:rFonts w:ascii="Times New Roman" w:cs="Times New Roman" w:eastAsia="Times New Roman" w:hAnsi="Times New Roman"/>
          <w:sz w:val="18"/>
          <w:szCs w:val="18"/>
          <w:color w:val="auto"/>
        </w:rPr>
      </w:pPr>
    </w:p>
    <w:p>
      <w:pPr>
        <w:ind w:right="160" w:firstLine="449"/>
        <w:spacing w:after="0" w:line="282" w:lineRule="auto"/>
        <w:tabs>
          <w:tab w:leader="none" w:pos="68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161" w:lineRule="exact"/>
        <w:rPr>
          <w:rFonts w:ascii="Times New Roman" w:cs="Times New Roman" w:eastAsia="Times New Roman" w:hAnsi="Times New Roman"/>
          <w:sz w:val="18"/>
          <w:szCs w:val="18"/>
          <w:color w:val="auto"/>
        </w:rPr>
      </w:pPr>
    </w:p>
    <w:p>
      <w:pPr>
        <w:ind w:right="280" w:firstLine="449"/>
        <w:spacing w:after="0" w:line="255" w:lineRule="auto"/>
        <w:tabs>
          <w:tab w:leader="none" w:pos="66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 of SARs</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SAR granted under the Plan to provide an grant price per share that is lower than the then-current grant price per share of such outstanding SAR, (2) cancel any outstanding stock appreciation right (whether or not granted under the Plan) and grant in substitution therefor new Awards under the Plan (other than Awards granted pursuant to Section 4(d)) covering the same or a different number of shares of Common Stock and having a grant price per share lower than the then-current exercise price per share of the canceled SAR, (3) cancel in exchange for a cash payment any outstanding SAR with a grant price per share above the then-current Fair Market Value, or (4) take any other action under the Plan that constitutes a “repricing” within the meaning of the rules of the NASDAQ.</w:t>
      </w:r>
    </w:p>
    <w:p>
      <w:pPr>
        <w:spacing w:after="0" w:line="188" w:lineRule="exact"/>
        <w:rPr>
          <w:rFonts w:ascii="Times New Roman" w:cs="Times New Roman" w:eastAsia="Times New Roman" w:hAnsi="Times New Roman"/>
          <w:sz w:val="18"/>
          <w:szCs w:val="18"/>
          <w:color w:val="auto"/>
        </w:rPr>
      </w:pPr>
    </w:p>
    <w:p>
      <w:pPr>
        <w:ind w:right="180" w:firstLine="449"/>
        <w:spacing w:after="0" w:line="282" w:lineRule="auto"/>
        <w:tabs>
          <w:tab w:leader="none" w:pos="6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Reload Rights</w:t>
      </w:r>
      <w:r>
        <w:rPr>
          <w:rFonts w:ascii="Times New Roman" w:cs="Times New Roman" w:eastAsia="Times New Roman" w:hAnsi="Times New Roman"/>
          <w:sz w:val="18"/>
          <w:szCs w:val="18"/>
          <w:color w:val="auto"/>
        </w:rPr>
        <w:t>. No SAR granted under the Plan shall contain any provision entitling the grantee to the automatic grant of additional SARs in connection with any exercise of the original SAR.</w:t>
      </w:r>
    </w:p>
    <w:p>
      <w:pPr>
        <w:spacing w:after="0" w:line="161"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the payment or accrual of dividend equivalents.</w:t>
      </w:r>
    </w:p>
    <w:p>
      <w:pPr>
        <w:spacing w:after="0" w:line="33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 Stock</w:t>
      </w:r>
    </w:p>
    <w:p>
      <w:pPr>
        <w:spacing w:after="0" w:line="117" w:lineRule="exact"/>
        <w:rPr>
          <w:rFonts w:ascii="Times New Roman" w:cs="Times New Roman" w:eastAsia="Times New Roman" w:hAnsi="Times New Roman"/>
          <w:sz w:val="18"/>
          <w:szCs w:val="18"/>
          <w:color w:val="auto"/>
        </w:rPr>
      </w:pPr>
    </w:p>
    <w:p>
      <w:pPr>
        <w:ind w:firstLine="449"/>
        <w:spacing w:after="0" w:line="256" w:lineRule="auto"/>
        <w:tabs>
          <w:tab w:leader="none" w:pos="68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 addition, the Board may grant Awards entitling the recipient to receive shares of Common Stock or cash to be delivered at a future date on or after such Award vests (“Restricted Stock Units”). (Restricted Stock and Restricted Stock Units are each referred to herein as a “Restricted Stock Award”.)</w:t>
      </w:r>
    </w:p>
    <w:p>
      <w:pPr>
        <w:spacing w:after="0" w:line="146" w:lineRule="exact"/>
        <w:rPr>
          <w:rFonts w:ascii="Times New Roman" w:cs="Times New Roman" w:eastAsia="Times New Roman" w:hAnsi="Times New Roman"/>
          <w:sz w:val="18"/>
          <w:szCs w:val="18"/>
          <w:color w:val="auto"/>
        </w:rPr>
      </w:pPr>
    </w:p>
    <w:p>
      <w:pPr>
        <w:ind w:firstLine="449"/>
        <w:spacing w:after="0" w:line="282" w:lineRule="auto"/>
        <w:tabs>
          <w:tab w:leader="none" w:pos="69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all Restricted Stock Awards</w:t>
      </w:r>
      <w:r>
        <w:rPr>
          <w:rFonts w:ascii="Times New Roman" w:cs="Times New Roman" w:eastAsia="Times New Roman" w:hAnsi="Times New Roman"/>
          <w:sz w:val="18"/>
          <w:szCs w:val="18"/>
          <w:color w:val="auto"/>
        </w:rPr>
        <w:t>. The Board shall determine the terms and conditions of a Restricted Stock Award, including the conditions for vesting and repurchase (or forfeiture) and the issue price, if any.</w:t>
      </w:r>
    </w:p>
    <w:p>
      <w:pPr>
        <w:spacing w:after="0" w:line="188"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000"/>
        <w:spacing w:after="0" w:line="258" w:lineRule="auto"/>
        <w:tabs>
          <w:tab w:leader="none" w:pos="124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 (whether paid in cash, stock or property) declared and paid by the Company with respect to shares of Restricted Stock (“Unvested Dividends”)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the shareholders of that class of stock or, if later, the 15th day of the third month following the date of the lapsing of the restrictions on transferability and the forfeitability provisions applicable to the underlying shares of Restricted Stock. No interest will be paid on Unvested Dividends.</w:t>
      </w:r>
    </w:p>
    <w:p>
      <w:pPr>
        <w:spacing w:after="0" w:line="183" w:lineRule="exact"/>
        <w:rPr>
          <w:rFonts w:ascii="Times New Roman" w:cs="Times New Roman" w:eastAsia="Times New Roman" w:hAnsi="Times New Roman"/>
          <w:sz w:val="18"/>
          <w:szCs w:val="18"/>
          <w:color w:val="auto"/>
        </w:rPr>
      </w:pPr>
    </w:p>
    <w:p>
      <w:pPr>
        <w:ind w:right="60" w:firstLine="1000"/>
        <w:spacing w:after="0" w:line="256" w:lineRule="auto"/>
        <w:tabs>
          <w:tab w:leader="none" w:pos="124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any stock certificates issued in respect of shares of Restricted Stock, as well as any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87"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1000"/>
        <w:spacing w:after="0" w:line="261" w:lineRule="auto"/>
        <w:tabs>
          <w:tab w:leader="none" w:pos="124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(i.e., settlement) with respect to each Restricted Stock Unit, the Participant shall be entitled to receive from the Company the number of shares of Common Stock specified in the Award agreement or an amount of cash equal to the Fair Market Value of such number of shares, as provided in the applicable Award agreement. The Board may provide that settlement of Restricted Stock Units shall be deferred, on a mandatory basis or at the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985" w:right="339" w:bottom="1440" w:gutter="0" w:footer="0" w:header="0"/>
          <w:type w:val="continuous"/>
        </w:sectPr>
      </w:pPr>
    </w:p>
    <w:bookmarkStart w:id="66" w:name="page67"/>
    <w:bookmarkEnd w:id="66"/>
    <w:p>
      <w:pPr>
        <w:ind w:right="280"/>
        <w:spacing w:after="0" w:line="282" w:lineRule="auto"/>
        <w:rPr>
          <w:sz w:val="20"/>
          <w:szCs w:val="20"/>
          <w:color w:val="auto"/>
        </w:rPr>
      </w:pPr>
      <w:r>
        <w:rPr>
          <w:rFonts w:ascii="Times New Roman" w:cs="Times New Roman" w:eastAsia="Times New Roman" w:hAnsi="Times New Roman"/>
          <w:sz w:val="18"/>
          <w:szCs w:val="18"/>
          <w:color w:val="auto"/>
        </w:rPr>
        <w:t>election of the Participant, in a manner that complies with Code Section 409A. Any Restricted Stock Units with a mandatory or elected deferral may be referred to by the Board as “Deferred Stock Units.”</w:t>
      </w:r>
    </w:p>
    <w:p>
      <w:pPr>
        <w:spacing w:after="0" w:line="162" w:lineRule="exact"/>
        <w:rPr>
          <w:sz w:val="20"/>
          <w:szCs w:val="20"/>
          <w:color w:val="auto"/>
        </w:rPr>
      </w:pPr>
    </w:p>
    <w:p>
      <w:pPr>
        <w:ind w:left="1260" w:hanging="260"/>
        <w:spacing w:after="0"/>
        <w:tabs>
          <w:tab w:leader="none" w:pos="12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Restricted Stock Units.</w:t>
      </w:r>
    </w:p>
    <w:p>
      <w:pPr>
        <w:spacing w:after="0" w:line="198" w:lineRule="exact"/>
        <w:rPr>
          <w:rFonts w:ascii="Times New Roman" w:cs="Times New Roman" w:eastAsia="Times New Roman" w:hAnsi="Times New Roman"/>
          <w:sz w:val="18"/>
          <w:szCs w:val="18"/>
          <w:color w:val="auto"/>
        </w:rPr>
      </w:pPr>
    </w:p>
    <w:p>
      <w:pPr>
        <w:ind w:firstLine="1000"/>
        <w:spacing w:after="0" w:line="258" w:lineRule="auto"/>
        <w:tabs>
          <w:tab w:leader="none" w:pos="124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(“Dividend Equivalents”). Dividend Equivalents shall be credited to an account for the Participants, may be settled in cash and/or shares of Common Stock and shall be subject to the same restrictions on transfer and forfeitability as the Restricted Stock Units with respect to which paid, in each case to be set forth in the applicable Award agreement. No interest will be paid on Dividend Equivalents.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117"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Board may grant other Awards of shares of Common Stock, and other Awards that are valued in whole or in part by reference to, or are otherwise based on, shares of Common Stock or other property (“Other Stock-Based Awards”), including without limitation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Performance Awards or other Awards denominated in cash rather than shares of Common Stock (“Cash-Based Awards”). Subject to the provisions of the Plan, the Board shall determine the terms and conditions of each Other Stock-Based Award, including any purchase price applicable thereto, and the terms and conditions of each Cash-Based Award.</w:t>
      </w:r>
    </w:p>
    <w:p>
      <w:pPr>
        <w:spacing w:after="0" w:line="300" w:lineRule="exact"/>
        <w:rPr>
          <w:sz w:val="20"/>
          <w:szCs w:val="20"/>
          <w:color w:val="auto"/>
        </w:rPr>
      </w:pPr>
    </w:p>
    <w:p>
      <w:pPr>
        <w:ind w:left="180" w:hanging="172"/>
        <w:spacing w:after="0"/>
        <w:tabs>
          <w:tab w:leader="none" w:pos="1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Changes in Common Stock and Certain Other Events</w:t>
      </w:r>
    </w:p>
    <w:p>
      <w:pPr>
        <w:spacing w:after="0" w:line="117" w:lineRule="exact"/>
        <w:rPr>
          <w:rFonts w:ascii="Times New Roman" w:cs="Times New Roman" w:eastAsia="Times New Roman" w:hAnsi="Times New Roman"/>
          <w:sz w:val="18"/>
          <w:szCs w:val="18"/>
          <w:color w:val="auto"/>
        </w:rPr>
      </w:pPr>
    </w:p>
    <w:p>
      <w:pPr>
        <w:ind w:right="40" w:firstLine="449"/>
        <w:spacing w:after="0" w:line="254" w:lineRule="auto"/>
        <w:tabs>
          <w:tab w:leader="none" w:pos="68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sublimit set forth in Section 4(c), (iii) the number and class of securities and exercise price per share of each outstanding Option, (iv) the share- and per-share provisions and the grant price of each Stock Appreciation Right, (v) the number of shares subject to and the repurchase price per share subject to each outstanding Restricted Stock Award and (vi) the share- and per-share-related provisions and the purchase price, if any, of each outstanding Other Stock-Based Award, shall be equitably adjusted by the Company (or substituted Awards may be made, if applicable) in the manner determined by the Board. If this Section 9(a) applies and Section 9(b) also applies to any event, Section 9(b) shall be applicable to such event, and this Section 9(a) shall not be applicable.</w:t>
      </w:r>
    </w:p>
    <w:p>
      <w:pPr>
        <w:spacing w:after="0" w:line="191"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100" w:hanging="211"/>
        <w:spacing w:after="0"/>
        <w:tabs>
          <w:tab w:leader="none" w:pos="11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Event” shall mean:</w:t>
      </w:r>
    </w:p>
    <w:p>
      <w:pPr>
        <w:spacing w:after="0" w:line="117" w:lineRule="exact"/>
        <w:rPr>
          <w:rFonts w:ascii="Times New Roman" w:cs="Times New Roman" w:eastAsia="Times New Roman" w:hAnsi="Times New Roman"/>
          <w:sz w:val="18"/>
          <w:szCs w:val="18"/>
          <w:color w:val="auto"/>
        </w:rPr>
      </w:pPr>
    </w:p>
    <w:p>
      <w:pPr>
        <w:ind w:firstLine="1440"/>
        <w:spacing w:after="0" w:line="282" w:lineRule="auto"/>
        <w:tabs>
          <w:tab w:leader="none" w:pos="172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Company with or into another entity as a result of which the Common Stock is converted into or exchanged for the right to receive cash, securities or other property or is canceled;</w:t>
      </w:r>
    </w:p>
    <w:p>
      <w:pPr>
        <w:spacing w:after="0" w:line="121" w:lineRule="exact"/>
        <w:rPr>
          <w:rFonts w:ascii="Times New Roman" w:cs="Times New Roman" w:eastAsia="Times New Roman" w:hAnsi="Times New Roman"/>
          <w:sz w:val="18"/>
          <w:szCs w:val="18"/>
          <w:color w:val="auto"/>
        </w:rPr>
      </w:pPr>
    </w:p>
    <w:p>
      <w:pPr>
        <w:ind w:left="1720" w:hanging="280"/>
        <w:spacing w:after="0"/>
        <w:tabs>
          <w:tab w:leader="none" w:pos="17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of shares of Common Stock of the Company for cash, securities or other property pursuant to a share exchange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transaction;</w:t>
      </w:r>
    </w:p>
    <w:p>
      <w:pPr>
        <w:spacing w:after="0" w:line="206" w:lineRule="exact"/>
        <w:rPr>
          <w:rFonts w:ascii="Times New Roman" w:cs="Times New Roman" w:eastAsia="Times New Roman" w:hAnsi="Times New Roman"/>
          <w:sz w:val="18"/>
          <w:szCs w:val="18"/>
          <w:color w:val="auto"/>
        </w:rPr>
      </w:pPr>
    </w:p>
    <w:p>
      <w:pPr>
        <w:ind w:right="120" w:firstLine="1440"/>
        <w:spacing w:after="0" w:line="261" w:lineRule="auto"/>
        <w:tabs>
          <w:tab w:leader="none" w:pos="171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which results in the voting securities of the Company outstanding immediately prior thereto representing immediately thereafter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w:t>
      </w:r>
    </w:p>
    <w:p>
      <w:pPr>
        <w:spacing w:after="0" w:line="179" w:lineRule="exact"/>
        <w:rPr>
          <w:rFonts w:ascii="Times New Roman" w:cs="Times New Roman" w:eastAsia="Times New Roman" w:hAnsi="Times New Roman"/>
          <w:sz w:val="18"/>
          <w:szCs w:val="18"/>
          <w:color w:val="auto"/>
        </w:rPr>
      </w:pPr>
    </w:p>
    <w:p>
      <w:pPr>
        <w:ind w:right="340" w:firstLine="1440"/>
        <w:spacing w:after="0" w:line="266" w:lineRule="auto"/>
        <w:tabs>
          <w:tab w:leader="none" w:pos="172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50% or more of either (I) the then-</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00"/>
          </w:cols>
          <w:pgMar w:left="320" w:top="985" w:right="379" w:bottom="1440" w:gutter="0" w:footer="0" w:header="0"/>
          <w:type w:val="continuous"/>
        </w:sectPr>
      </w:pPr>
    </w:p>
    <w:bookmarkStart w:id="67" w:name="page68"/>
    <w:bookmarkEnd w:id="67"/>
    <w:p>
      <w:pPr>
        <w:ind w:right="560"/>
        <w:spacing w:after="0" w:line="312" w:lineRule="auto"/>
        <w:rPr>
          <w:sz w:val="20"/>
          <w:szCs w:val="20"/>
          <w:color w:val="auto"/>
        </w:rPr>
      </w:pPr>
      <w:r>
        <w:rPr>
          <w:rFonts w:ascii="Times New Roman" w:cs="Times New Roman" w:eastAsia="Times New Roman" w:hAnsi="Times New Roman"/>
          <w:sz w:val="17"/>
          <w:szCs w:val="17"/>
          <w:color w:val="auto"/>
        </w:rPr>
        <w:t>outstanding shares of Common Stock of the Company (the “Outstanding Company Common Stock”) or (II) the combined voting power of the then-outstanding voting securities of the Company entitled to vote generally in the election of directors (the “Outstanding Company Voting Securities”);</w:t>
      </w:r>
    </w:p>
    <w:p>
      <w:pPr>
        <w:spacing w:after="0" w:line="1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provided, however, that for purposes of this subsection (D), the following acquisitions shall not constitute a Change in Control Event:</w:t>
      </w:r>
    </w:p>
    <w:p>
      <w:pPr>
        <w:spacing w:after="0" w:line="27" w:lineRule="exact"/>
        <w:rPr>
          <w:sz w:val="20"/>
          <w:szCs w:val="20"/>
          <w:color w:val="auto"/>
        </w:rPr>
      </w:pPr>
    </w:p>
    <w:p>
      <w:pPr>
        <w:ind w:right="40" w:firstLine="8"/>
        <w:spacing w:after="0" w:line="251" w:lineRule="auto"/>
        <w:tabs>
          <w:tab w:leader="none" w:pos="3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which results in all or substantially all of the individuals and entities who were the beneficial owners of the Outstanding Company Common Stock and Outstanding Company Voting Securities immediately prior to such transaction beneficially owning, directly or indirectly, more than 50% of the then-outstanding shares of common stock and the combined voting power of the then-outstanding voting securities entitled to vote generally in the election of directors, respectively, of the resulting or acquiring corporation in such transaction (which shall include, without limitation, a corporation which as a result of such transaction owns the Company or substantially all of the Company’s assets either directly or through one or more subsidiaries) in substantially the same proportions as their ownership, immediately prior to such transaction, of the Outstanding Company Common Stock and Outstanding Company Voting Securities, respectively;</w:t>
      </w:r>
    </w:p>
    <w:p>
      <w:pPr>
        <w:spacing w:after="0" w:line="193" w:lineRule="exact"/>
        <w:rPr>
          <w:rFonts w:ascii="Times New Roman" w:cs="Times New Roman" w:eastAsia="Times New Roman" w:hAnsi="Times New Roman"/>
          <w:sz w:val="18"/>
          <w:szCs w:val="18"/>
          <w:color w:val="auto"/>
        </w:rPr>
      </w:pPr>
    </w:p>
    <w:p>
      <w:pPr>
        <w:ind w:left="1720" w:hanging="280"/>
        <w:spacing w:after="0"/>
        <w:tabs>
          <w:tab w:leader="none" w:pos="1720" w:val="left"/>
        </w:tabs>
        <w:numPr>
          <w:ilvl w:val="3"/>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 or</w:t>
      </w:r>
    </w:p>
    <w:p>
      <w:pPr>
        <w:spacing w:after="0" w:line="225"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3"/>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of the Company.</w:t>
      </w:r>
    </w:p>
    <w:p>
      <w:pPr>
        <w:spacing w:after="0" w:line="171" w:lineRule="exact"/>
        <w:rPr>
          <w:rFonts w:ascii="Times New Roman" w:cs="Times New Roman" w:eastAsia="Times New Roman" w:hAnsi="Times New Roman"/>
          <w:sz w:val="18"/>
          <w:szCs w:val="18"/>
          <w:color w:val="auto"/>
        </w:rPr>
      </w:pPr>
    </w:p>
    <w:p>
      <w:pPr>
        <w:ind w:right="40" w:firstLine="1006"/>
        <w:spacing w:after="0" w:line="256" w:lineRule="auto"/>
        <w:tabs>
          <w:tab w:leader="none" w:pos="1263"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 (A) a material reduction in the Participant’s base compensation; or (B) a requirement that the Participant relocate to, or perform his or her principal job functions at, an office that is more than twenty-five (25) miles from the office at which the Participant was previously performing his or her principal job functions; provided, however, that no such event shall constitute Good Reason unless (X) the Participant gives the Company a written notice of termination for Good Reason not more than 90 days after the initial existence of the condition, (Y) the grounds for termination (if susceptible to correction) are not corrected by the Company within 30 days of its receipt of such notice and (Z) the Participant’s termination of employment occurs within one year following the Company’s receipt of such notice.</w:t>
      </w:r>
    </w:p>
    <w:p>
      <w:pPr>
        <w:spacing w:after="0" w:line="187" w:lineRule="exact"/>
        <w:rPr>
          <w:rFonts w:ascii="Times New Roman" w:cs="Times New Roman" w:eastAsia="Times New Roman" w:hAnsi="Times New Roman"/>
          <w:sz w:val="18"/>
          <w:szCs w:val="18"/>
          <w:color w:val="auto"/>
        </w:rPr>
      </w:pPr>
    </w:p>
    <w:p>
      <w:pPr>
        <w:ind w:right="160" w:firstLine="1000"/>
        <w:spacing w:after="0" w:line="261" w:lineRule="auto"/>
        <w:tabs>
          <w:tab w:leader="none" w:pos="1306"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mean (A) any act or omission by the Participant that has a significant adverse effect on the Company’s business or on the Participant’s ability to perform services for the Company, including, without limitation, the commission of any crime (other than ordinary traffic violations), or (B) refusal or failure to perform assigned duties, serious misconduct, or excessive absenteeism, or (C) refusal or failure to comply with the Company’s Code of Business Ethics.</w:t>
      </w:r>
    </w:p>
    <w:p>
      <w:pPr>
        <w:spacing w:after="0" w:line="179"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000"/>
        <w:spacing w:after="0" w:line="255" w:lineRule="auto"/>
        <w:tabs>
          <w:tab w:leader="none" w:pos="1206"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Change in Control Event, except to the extent specifically provided to the contrary in the instrument evidencing the Award or any other agreement between the Participant and the Company, all Performance Awards (as defined below) shall be deemed earned immediately prior to the Change in Control Event based upon achievement of (A) actual performance of the applicable metrics for any Performance Awards for which the applicable performance period has been fully completed as of the date of the Change in Control Event and (B) target level performance of the applicable performance metrics for any Performance Awards for which the performance period has not been completed or has been partially completed as of the date of the Change in Control Event (any Performance Awards that are deemed earned pursuant to this Section 9(b)(2)(i), “Earned Performance Awards”).</w:t>
      </w:r>
    </w:p>
    <w:p>
      <w:pPr>
        <w:spacing w:after="0" w:line="188" w:lineRule="exact"/>
        <w:rPr>
          <w:rFonts w:ascii="Times New Roman" w:cs="Times New Roman" w:eastAsia="Times New Roman" w:hAnsi="Times New Roman"/>
          <w:sz w:val="18"/>
          <w:szCs w:val="18"/>
          <w:color w:val="auto"/>
        </w:rPr>
      </w:pPr>
    </w:p>
    <w:p>
      <w:pPr>
        <w:ind w:firstLine="1000"/>
        <w:spacing w:after="0" w:line="253" w:lineRule="auto"/>
        <w:tabs>
          <w:tab w:leader="none" w:pos="1256"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in Control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Change in Control Event do not provide for the assumption, continuation or substitution of Awards, upon the effective time of the Change in Control Event, the Plan and all outstanding Awards granted hereunder shall terminate. In such case, except to the extent specifically provided to the contrary in the instrument evidencing the Award or any other agreement between the Participant and the Company, all Awards with time-based vesting conditions or restrictions that are not vested and/or exercisable immediately prior to the effective time of the Change in Control Event and all Earned Performance Awards shall become fully vested and exercisable as of immediately prior to the effective time of the Change in Control Event. In the event of a termination of outstanding Awards granted under the Plan upon a Change in Control Event, (A) the Company shall have the option (in its sole discretion) to make or provide for a payment, in cash or in kind, to the Participant holding Options and SARs, in exchange for the cancellation thereof, in an amount equal to the difference between (x) the price paid for each share of Common Stock in the Change in Control Event (the “Sale Price”) multiplied by the number of shares of Common Stock subject to outstanding Options and SARs (to the extent then exercisable at prices not in excess of the Sale Price) and (y) the aggregate exercise price of all such outstanding Options and SARs (provided that, in the case of an Option or SAR with an exercise price equal to or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985" w:right="359" w:bottom="1440" w:gutter="0" w:footer="0" w:header="0"/>
        </w:sectPr>
      </w:pPr>
    </w:p>
    <w:bookmarkStart w:id="68" w:name="page69"/>
    <w:bookmarkEnd w:id="68"/>
    <w:p>
      <w:pPr>
        <w:ind w:right="80"/>
        <w:spacing w:after="0" w:line="258" w:lineRule="auto"/>
        <w:rPr>
          <w:sz w:val="20"/>
          <w:szCs w:val="20"/>
          <w:color w:val="auto"/>
        </w:rPr>
      </w:pPr>
      <w:r>
        <w:rPr>
          <w:rFonts w:ascii="Times New Roman" w:cs="Times New Roman" w:eastAsia="Times New Roman" w:hAnsi="Times New Roman"/>
          <w:sz w:val="18"/>
          <w:szCs w:val="18"/>
          <w:color w:val="auto"/>
        </w:rPr>
        <w:t>greater than the Sale Price, such Option or SAR shall be cancelled for no consideration); or (B) each Participant shall be permitted, within a specified period of time prior to the consummation of the Change in Control Event as determined by the Board, to exercise all outstanding Options and SARs (to the extent then exercisable) held by such Participant. The Company shall also have the option (in its sole discretion) to make or provide for a payment, in cash or in kind, to Participants holding Awards other than Options and SARs in an amount equal to the Sale Price multiplied by the number of vested shares of Common Stock underlying such Awards.</w:t>
      </w:r>
    </w:p>
    <w:p>
      <w:pPr>
        <w:spacing w:after="0" w:line="183" w:lineRule="exact"/>
        <w:rPr>
          <w:sz w:val="20"/>
          <w:szCs w:val="20"/>
          <w:color w:val="auto"/>
        </w:rPr>
      </w:pPr>
    </w:p>
    <w:p>
      <w:pPr>
        <w:ind w:firstLine="992"/>
        <w:spacing w:after="0" w:line="253" w:lineRule="auto"/>
        <w:rPr>
          <w:sz w:val="20"/>
          <w:szCs w:val="20"/>
          <w:color w:val="auto"/>
        </w:rPr>
      </w:pPr>
      <w:r>
        <w:rPr>
          <w:rFonts w:ascii="Times New Roman" w:cs="Times New Roman" w:eastAsia="Times New Roman" w:hAnsi="Times New Roman"/>
          <w:sz w:val="18"/>
          <w:szCs w:val="18"/>
          <w:color w:val="auto"/>
        </w:rPr>
        <w:t>For purposes of this Section 9(b)(2)(ii), an Award shall be considered assumed if, following consummation of the Change in Control Event, such Award confers the right to purchase or receive pursuant to the terms of such Award, for each share of Common Stock subject to the Award immediately prior to the consummation of the Change in Control Event, the consideration (whether cash, securities or other property) received as a result of the Change in Control Event by holders of Common Stock for each share of Common Stock held immediately prior to the consummation of the Change in Control Event (and if holders were offered a choice of consideration, the type of consideration chosen by the holders of a majority of the outstanding shares of Common Stock); provided, however, that if the consideration received as a result of the Change in Control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Change in Control Event.</w:t>
      </w:r>
    </w:p>
    <w:p>
      <w:pPr>
        <w:spacing w:after="0" w:line="192" w:lineRule="exact"/>
        <w:rPr>
          <w:sz w:val="20"/>
          <w:szCs w:val="20"/>
          <w:color w:val="auto"/>
        </w:rPr>
      </w:pPr>
    </w:p>
    <w:p>
      <w:pPr>
        <w:ind w:right="100" w:firstLine="1000"/>
        <w:spacing w:after="0" w:line="256" w:lineRule="auto"/>
        <w:tabs>
          <w:tab w:leader="none" w:pos="130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parties to a Change in Control Event provide for the assumption, continuation or substitution of Awards, except to the extent specifically provided to the contrary in the instrument evidencing the Award or any other agreement between the Participant and the Company, each such assumed, continued or substituted Award (including, for the avoidance of doubt, any Earned Performance Award) shall become immediately vested, exercisable, or free from forfeiture, as applicable, upon the termination of the Participant’s employment if the Participant’s employment with the Company or a successor corporation is terminated for Good Reason by the Participant or is terminated without Cause by the Company or the successor corporation, in either case on or prior to the first anniversary of the date of the consummation of a Change in Control Event.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General Provisions Applicable to Awards</w:t>
      </w:r>
    </w:p>
    <w:p>
      <w:pPr>
        <w:spacing w:after="0" w:line="225" w:lineRule="exact"/>
        <w:rPr>
          <w:sz w:val="20"/>
          <w:szCs w:val="20"/>
          <w:color w:val="auto"/>
        </w:rPr>
      </w:pPr>
    </w:p>
    <w:p>
      <w:pPr>
        <w:ind w:right="80" w:firstLine="449"/>
        <w:spacing w:after="0" w:line="253" w:lineRule="auto"/>
        <w:tabs>
          <w:tab w:leader="none" w:pos="6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Awards shall not be sold, assigned, transferred, pledged or otherwise encumbered by the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provided that Incentive Stock Options and Awards that are subject to Section 409A of the Code may be transferable only to the extent permitted by the Code;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89" w:lineRule="exact"/>
        <w:rPr>
          <w:rFonts w:ascii="Times New Roman" w:cs="Times New Roman" w:eastAsia="Times New Roman" w:hAnsi="Times New Roman"/>
          <w:sz w:val="18"/>
          <w:szCs w:val="18"/>
          <w:color w:val="auto"/>
        </w:rPr>
      </w:pPr>
    </w:p>
    <w:p>
      <w:pPr>
        <w:ind w:right="140" w:firstLine="449"/>
        <w:spacing w:after="0" w:line="266"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(but, except as expressly contemplated by another provision herein, not inconsistent with) those set forth in the Plan.</w:t>
      </w:r>
    </w:p>
    <w:p>
      <w:pPr>
        <w:spacing w:after="0" w:line="175" w:lineRule="exact"/>
        <w:rPr>
          <w:rFonts w:ascii="Times New Roman" w:cs="Times New Roman" w:eastAsia="Times New Roman" w:hAnsi="Times New Roman"/>
          <w:sz w:val="18"/>
          <w:szCs w:val="18"/>
          <w:color w:val="auto"/>
        </w:rPr>
      </w:pPr>
    </w:p>
    <w:p>
      <w:pPr>
        <w:ind w:right="80" w:firstLine="449"/>
        <w:spacing w:after="0" w:line="282" w:lineRule="auto"/>
        <w:tabs>
          <w:tab w:leader="none" w:pos="6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Discretion</w:t>
      </w:r>
      <w:r>
        <w:rPr>
          <w:rFonts w:ascii="Times New Roman" w:cs="Times New Roman" w:eastAsia="Times New Roman" w:hAnsi="Times New Roman"/>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61" w:lineRule="exact"/>
        <w:rPr>
          <w:rFonts w:ascii="Times New Roman" w:cs="Times New Roman" w:eastAsia="Times New Roman" w:hAnsi="Times New Roman"/>
          <w:sz w:val="18"/>
          <w:szCs w:val="18"/>
          <w:color w:val="auto"/>
        </w:rPr>
      </w:pPr>
    </w:p>
    <w:p>
      <w:pPr>
        <w:ind w:right="60" w:firstLine="449"/>
        <w:spacing w:after="0" w:line="261"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152" w:lineRule="exact"/>
        <w:rPr>
          <w:rFonts w:ascii="Times New Roman" w:cs="Times New Roman" w:eastAsia="Times New Roman" w:hAnsi="Times New Roman"/>
          <w:sz w:val="18"/>
          <w:szCs w:val="18"/>
          <w:color w:val="auto"/>
        </w:rPr>
      </w:pPr>
    </w:p>
    <w:p>
      <w:pPr>
        <w:ind w:right="60" w:firstLine="449"/>
        <w:spacing w:after="0" w:line="266" w:lineRule="auto"/>
        <w:tabs>
          <w:tab w:leader="none" w:pos="6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985" w:right="339" w:bottom="1440" w:gutter="0" w:footer="0" w:header="0"/>
          <w:type w:val="continuous"/>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t>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The Board may require the Company’s tax withholding obligations to be satisfied, in whole or in part, by delivery (either by actual delivery or attestation) of shares of Common Stock, including shares retained from the Award creating the tax obligation, valued at their fair market value (valued in the manner determined by (or in a manner approved by) the Company); provided, however, except as otherwise provided by the Committee,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The Board may also require the Company’s tax withholding obligation to be satisfied, in whole or in part, by an arrangement whereby a certain number of shares of Common Stock issued pursuant to any Award are immediately sold and proceeds from such sale are remitted to the Company in an amount that would satisfy the withholding amount due. Shares used to satisfy tax withholding requirements cannot be subject to any repurchase, forfeiture, unfulfilled vesting or other similar requirements.</w:t>
      </w:r>
    </w:p>
    <w:p>
      <w:pPr>
        <w:spacing w:after="0" w:line="193" w:lineRule="exact"/>
        <w:rPr>
          <w:sz w:val="20"/>
          <w:szCs w:val="20"/>
          <w:color w:val="auto"/>
        </w:rPr>
      </w:pPr>
    </w:p>
    <w:p>
      <w:pPr>
        <w:ind w:firstLine="449"/>
        <w:spacing w:after="0" w:line="258" w:lineRule="auto"/>
        <w:tabs>
          <w:tab w:leader="none" w:pos="66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provided in Sections 5(d) and 6(f),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such action shall be required unless either (i) the Board determines that the action, taking into account any related action, would not materially and adversely affect the Participant or (ii) that the change is permitted under Section 9 hereof.</w:t>
      </w:r>
    </w:p>
    <w:p>
      <w:pPr>
        <w:spacing w:after="0" w:line="156" w:lineRule="exact"/>
        <w:rPr>
          <w:rFonts w:ascii="Times New Roman" w:cs="Times New Roman" w:eastAsia="Times New Roman" w:hAnsi="Times New Roman"/>
          <w:sz w:val="18"/>
          <w:szCs w:val="18"/>
          <w:color w:val="auto"/>
        </w:rPr>
      </w:pPr>
    </w:p>
    <w:p>
      <w:pPr>
        <w:ind w:right="200" w:firstLine="449"/>
        <w:spacing w:after="0" w:line="256"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auto"/>
        </w:rPr>
      </w:pPr>
    </w:p>
    <w:p>
      <w:pPr>
        <w:ind w:right="20" w:firstLine="449"/>
        <w:spacing w:after="0" w:line="282" w:lineRule="auto"/>
        <w:tabs>
          <w:tab w:leader="none" w:pos="69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Except as set forth in Section 10(i), the Board may at any time provide that any Award shall become immediately exercisable in full or in part, free of some or all restrictions or conditions, or otherwise realizable in full or in part, as the case may be.</w:t>
      </w:r>
    </w:p>
    <w:p>
      <w:pPr>
        <w:spacing w:after="0" w:line="161" w:lineRule="exact"/>
        <w:rPr>
          <w:rFonts w:ascii="Times New Roman" w:cs="Times New Roman" w:eastAsia="Times New Roman" w:hAnsi="Times New Roman"/>
          <w:sz w:val="18"/>
          <w:szCs w:val="18"/>
          <w:color w:val="auto"/>
        </w:rPr>
      </w:pPr>
    </w:p>
    <w:p>
      <w:pPr>
        <w:ind w:right="280" w:firstLine="449"/>
        <w:spacing w:after="0" w:line="261" w:lineRule="auto"/>
        <w:tabs>
          <w:tab w:leader="none" w:pos="65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Awards under the Plan may be made subject to the achievement of performance goals as the Board may determine (“Performance Awards”), subject to the limit in Section 4(c)(1) on shares covered by such grants. The Committee shall certify in writing (which may be satisfied by the inclusion of such a determination in the minutes of a meeting of such Committee) that the performance goals and other material terms applicable to such Award were satisfied.</w:t>
      </w:r>
    </w:p>
    <w:p>
      <w:pPr>
        <w:spacing w:after="0" w:line="179" w:lineRule="exact"/>
        <w:rPr>
          <w:rFonts w:ascii="Times New Roman" w:cs="Times New Roman" w:eastAsia="Times New Roman" w:hAnsi="Times New Roman"/>
          <w:sz w:val="18"/>
          <w:szCs w:val="18"/>
          <w:color w:val="auto"/>
        </w:rPr>
      </w:pPr>
    </w:p>
    <w:p>
      <w:pPr>
        <w:jc w:val="both"/>
        <w:ind w:right="20" w:firstLine="449"/>
        <w:spacing w:after="0" w:line="266" w:lineRule="auto"/>
        <w:tabs>
          <w:tab w:leader="none" w:pos="65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w:t>
      </w:r>
      <w:r>
        <w:rPr>
          <w:rFonts w:ascii="Times New Roman" w:cs="Times New Roman" w:eastAsia="Times New Roman" w:hAnsi="Times New Roman"/>
          <w:sz w:val="18"/>
          <w:szCs w:val="18"/>
          <w:color w:val="auto"/>
        </w:rPr>
        <w:t>. Subject to Section 10(h), no Award shall vest earlier than the first anniversary of its date of grant, unless such Award is granted in lieu of salary, bonus or other compensation otherwise earned by or payable to the Participant. The foregoing sentence shall not apply to Awards granted, in the aggregate, for up to 5% of the maximum number of authorized shares set forth in Section 4(a).</w:t>
      </w:r>
    </w:p>
    <w:p>
      <w:pPr>
        <w:spacing w:after="0" w:line="176" w:lineRule="exact"/>
        <w:rPr>
          <w:sz w:val="20"/>
          <w:szCs w:val="20"/>
          <w:color w:val="auto"/>
        </w:rPr>
      </w:pPr>
    </w:p>
    <w:p>
      <w:pPr>
        <w:ind w:left="220" w:hanging="213"/>
        <w:spacing w:after="0"/>
        <w:tabs>
          <w:tab w:leader="none" w:pos="2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rFonts w:ascii="Times New Roman" w:cs="Times New Roman" w:eastAsia="Times New Roman" w:hAnsi="Times New Roman"/>
          <w:sz w:val="18"/>
          <w:szCs w:val="18"/>
          <w:color w:val="auto"/>
        </w:rPr>
      </w:pPr>
    </w:p>
    <w:p>
      <w:pPr>
        <w:ind w:firstLine="449"/>
        <w:spacing w:after="0" w:line="261" w:lineRule="auto"/>
        <w:tabs>
          <w:tab w:leader="none" w:pos="68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9" w:lineRule="exact"/>
        <w:rPr>
          <w:rFonts w:ascii="Times New Roman" w:cs="Times New Roman" w:eastAsia="Times New Roman" w:hAnsi="Times New Roman"/>
          <w:sz w:val="18"/>
          <w:szCs w:val="18"/>
          <w:color w:val="auto"/>
        </w:rPr>
      </w:pPr>
    </w:p>
    <w:p>
      <w:pPr>
        <w:ind w:right="100" w:firstLine="449"/>
        <w:spacing w:after="0" w:line="266" w:lineRule="auto"/>
        <w:tabs>
          <w:tab w:leader="none" w:pos="69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Notwithstanding the foregoing, in the event the Company effects a split of the Common Stock by means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769" w:right="359" w:bottom="1440" w:gutter="0" w:footer="0" w:header="0"/>
        </w:sectPr>
      </w:pPr>
    </w:p>
    <w:bookmarkStart w:id="70" w:name="page71"/>
    <w:bookmarkEnd w:id="70"/>
    <w:p>
      <w:pPr>
        <w:ind w:right="160"/>
        <w:spacing w:after="0" w:line="261" w:lineRule="auto"/>
        <w:rPr>
          <w:sz w:val="20"/>
          <w:szCs w:val="20"/>
          <w:color w:val="auto"/>
        </w:rPr>
      </w:pPr>
      <w:r>
        <w:rPr>
          <w:rFonts w:ascii="Times New Roman" w:cs="Times New Roman" w:eastAsia="Times New Roman" w:hAnsi="Times New Roman"/>
          <w:sz w:val="18"/>
          <w:szCs w:val="18"/>
          <w:color w:val="auto"/>
        </w:rPr>
        <w:t>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53" w:lineRule="exact"/>
        <w:rPr>
          <w:sz w:val="20"/>
          <w:szCs w:val="20"/>
          <w:color w:val="auto"/>
        </w:rPr>
      </w:pPr>
    </w:p>
    <w:p>
      <w:pPr>
        <w:ind w:right="100" w:firstLine="449"/>
        <w:spacing w:after="0" w:line="266" w:lineRule="auto"/>
        <w:tabs>
          <w:tab w:leader="none" w:pos="6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on the date the Plan is approved by the Company’s stockholders. No Awards shall be granted under the Plan after May 12, 2032 and no awards of Incentive Stock Options may be granted after March 16, 2032, but Awards previously granted may extend beyond that date.</w:t>
      </w:r>
    </w:p>
    <w:p>
      <w:pPr>
        <w:spacing w:after="0" w:line="175" w:lineRule="exact"/>
        <w:rPr>
          <w:rFonts w:ascii="Times New Roman" w:cs="Times New Roman" w:eastAsia="Times New Roman" w:hAnsi="Times New Roman"/>
          <w:sz w:val="18"/>
          <w:szCs w:val="18"/>
          <w:color w:val="auto"/>
        </w:rPr>
      </w:pPr>
    </w:p>
    <w:p>
      <w:pPr>
        <w:ind w:right="20" w:firstLine="449"/>
        <w:spacing w:after="0" w:line="253"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provided that (i) no amendment that would require stockholder approval under the rules of the NASDAQ may be made effective unless and until such amendment shall have been approved by the Company’s stockholders; and (ii) if the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shares authorized under the Plan (other than pursuant to Section 9), (B) expanding the types of Awards that may be granted under the Plan, (C) materially expanding the class of participants eligible to participate in the Plan, or (D) materially increasing benefits generally available to Participants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189" w:lineRule="exact"/>
        <w:rPr>
          <w:rFonts w:ascii="Times New Roman" w:cs="Times New Roman" w:eastAsia="Times New Roman" w:hAnsi="Times New Roman"/>
          <w:sz w:val="18"/>
          <w:szCs w:val="18"/>
          <w:color w:val="auto"/>
        </w:rPr>
      </w:pPr>
    </w:p>
    <w:p>
      <w:pPr>
        <w:ind w:right="60" w:firstLine="449"/>
        <w:spacing w:after="0" w:line="266" w:lineRule="auto"/>
        <w:tabs>
          <w:tab w:leader="none" w:pos="6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Board may modify Awards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175" w:lineRule="exact"/>
        <w:rPr>
          <w:rFonts w:ascii="Times New Roman" w:cs="Times New Roman" w:eastAsia="Times New Roman" w:hAnsi="Times New Roman"/>
          <w:sz w:val="18"/>
          <w:szCs w:val="18"/>
          <w:color w:val="auto"/>
        </w:rPr>
      </w:pPr>
    </w:p>
    <w:p>
      <w:pPr>
        <w:ind w:right="100" w:firstLine="449"/>
        <w:spacing w:after="0" w:line="253" w:lineRule="auto"/>
        <w:tabs>
          <w:tab w:leader="none" w:pos="6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Except as provided in individual Award agreements initially or by amendment, if and to the extent any portion of any payment, compensation or other benefit provided to a Participant in connection with his or her employment termination is determined to constitute “nonqualified deferred compensation” within the meaning of Section 409A of the Code and the Participant is a specified employee as defined in Section 409A(a) (2)(B)(i) of the Code, as determined by the Company in accordance with its procedures, by which determination the Participant (through accepting the Award) agrees that he or she is bound, such portion of the payment, compensation or other benefit shall not be paid before the day that is six months plus one day after the date of “separation from service” (as determined under Code Section 409A) (the “New Payment Date”),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The Company shall have no liability to a Participant, or any other Party if an Award that is intended to be exempt from, or compliant with, Section 409A is not so exempt or compliant or for any action taken by the Board.</w:t>
      </w:r>
    </w:p>
    <w:p>
      <w:pPr>
        <w:spacing w:after="0" w:line="194" w:lineRule="exact"/>
        <w:rPr>
          <w:rFonts w:ascii="Times New Roman" w:cs="Times New Roman" w:eastAsia="Times New Roman" w:hAnsi="Times New Roman"/>
          <w:sz w:val="18"/>
          <w:szCs w:val="18"/>
          <w:color w:val="auto"/>
        </w:rPr>
      </w:pPr>
    </w:p>
    <w:p>
      <w:pPr>
        <w:ind w:right="100" w:firstLine="449"/>
        <w:spacing w:after="0" w:line="255"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this Plan unless arising out of such person’s own fraud or bad faith.</w:t>
      </w:r>
    </w:p>
    <w:p>
      <w:pPr>
        <w:spacing w:after="0" w:line="188" w:lineRule="exact"/>
        <w:rPr>
          <w:rFonts w:ascii="Times New Roman" w:cs="Times New Roman" w:eastAsia="Times New Roman" w:hAnsi="Times New Roman"/>
          <w:sz w:val="18"/>
          <w:szCs w:val="18"/>
          <w:color w:val="auto"/>
        </w:rPr>
      </w:pPr>
    </w:p>
    <w:p>
      <w:pPr>
        <w:ind w:firstLine="449"/>
        <w:spacing w:after="0" w:line="256"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or tax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85" w:right="339" w:bottom="1440" w:gutter="0" w:footer="0" w:header="0"/>
        </w:sectPr>
      </w:pPr>
    </w:p>
    <w:bookmarkStart w:id="71" w:name="page72"/>
    <w:bookmarkEnd w:id="71"/>
    <w:p>
      <w:pPr>
        <w:ind w:left="-120" w:firstLine="449"/>
        <w:spacing w:after="0" w:line="266" w:lineRule="auto"/>
        <w:tabs>
          <w:tab w:leader="none" w:pos="5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020"/>
      </w:cols>
      <w:pgMar w:left="440" w:top="98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decimal"/>
      <w:start w:val="5"/>
    </w:lvl>
  </w:abstractNum>
  <w:abstractNum w:abstractNumId="4">
    <w:nsid w:val="79A1DEAA"/>
    <w:multiLevelType w:val="hybridMultilevel"/>
    <w:lvl w:ilvl="0">
      <w:lvlJc w:val="left"/>
      <w:lvlText w:val="%1."/>
      <w:numFmt w:val="decimal"/>
      <w:start w:val="7"/>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1."/>
      <w:numFmt w:val="decimal"/>
      <w:start w:val="2"/>
    </w:lvl>
  </w:abstractNum>
  <w:abstractNum w:abstractNumId="8">
    <w:nsid w:val="520EEDD1"/>
    <w:multiLevelType w:val="hybridMultilevel"/>
    <w:lvl w:ilvl="0">
      <w:lvlJc w:val="left"/>
      <w:lvlText w:val="%1."/>
      <w:numFmt w:val="decimal"/>
      <w:start w:val="3"/>
    </w:lvl>
  </w:abstractNum>
  <w:abstractNum w:abstractNumId="9">
    <w:nsid w:val="374A3FE6"/>
    <w:multiLevelType w:val="hybridMultilevel"/>
    <w:lvl w:ilvl="0">
      <w:lvlJc w:val="left"/>
      <w:lvlText w:val="(%1)"/>
      <w:numFmt w:val="lowerLetter"/>
      <w:start w:val="5"/>
    </w:lvl>
  </w:abstractNum>
  <w:abstractNum w:abstractNumId="10">
    <w:nsid w:val="4F4EF005"/>
    <w:multiLevelType w:val="hybridMultilevel"/>
    <w:lvl w:ilvl="0">
      <w:lvlJc w:val="left"/>
      <w:lvlText w:val="%1."/>
      <w:numFmt w:val="decimal"/>
      <w:start w:val="2"/>
    </w:lvl>
  </w:abstractNum>
  <w:abstractNum w:abstractNumId="11">
    <w:nsid w:val="23F9C13C"/>
    <w:multiLevelType w:val="hybridMultilevel"/>
    <w:lvl w:ilvl="0">
      <w:lvlJc w:val="left"/>
      <w:lvlText w:val="%1."/>
      <w:numFmt w:val="decimal"/>
      <w:start w:val="5"/>
    </w:lvl>
  </w:abstractNum>
  <w:abstractNum w:abstractNumId="12">
    <w:nsid w:val="649BB77C"/>
    <w:multiLevelType w:val="hybridMultilevel"/>
    <w:lvl w:ilvl="0">
      <w:lvlJc w:val="left"/>
      <w:lvlText w:val="%1."/>
      <w:numFmt w:val="decimal"/>
      <w:start w:val="8"/>
    </w:lvl>
  </w:abstractNum>
  <w:abstractNum w:abstractNumId="13">
    <w:nsid w:val="275AC794"/>
    <w:multiLevelType w:val="hybridMultilevel"/>
    <w:lvl w:ilvl="0">
      <w:lvlJc w:val="left"/>
      <w:lvlText w:val="%1."/>
      <w:numFmt w:val="decimal"/>
      <w:start w:val="14"/>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7"/>
    </w:lvl>
  </w:abstractNum>
  <w:abstractNum w:abstractNumId="16">
    <w:nsid w:val="180115BE"/>
    <w:multiLevelType w:val="hybridMultilevel"/>
    <w:lvl w:ilvl="0">
      <w:lvlJc w:val="left"/>
      <w:lvlText w:val="(%1)"/>
      <w:numFmt w:val="upperLetter"/>
      <w:start w:val="1"/>
    </w:lvl>
  </w:abstractNum>
  <w:abstractNum w:abstractNumId="17">
    <w:nsid w:val="235BA861"/>
    <w:multiLevelType w:val="hybridMultilevel"/>
    <w:lvl w:ilvl="0">
      <w:lvlJc w:val="left"/>
      <w:lvlText w:val="(%1)"/>
      <w:numFmt w:val="upperLetter"/>
      <w:start w:val="2"/>
    </w:lvl>
  </w:abstractNum>
  <w:abstractNum w:abstractNumId="18">
    <w:nsid w:val="47398C89"/>
    <w:multiLevelType w:val="hybridMultilevel"/>
    <w:lvl w:ilvl="0">
      <w:lvlJc w:val="left"/>
      <w:lvlText w:val="(%1)"/>
      <w:numFmt w:val="upperLetter"/>
      <w:start w:val="3"/>
    </w:lvl>
  </w:abstractNum>
  <w:abstractNum w:abstractNumId="19">
    <w:nsid w:val="354FE9F9"/>
    <w:multiLevelType w:val="hybridMultilevel"/>
    <w:lvl w:ilvl="0">
      <w:lvlJc w:val="left"/>
      <w:lvlText w:val="(%1)"/>
      <w:numFmt w:val="upperLetter"/>
      <w:start w:val="1"/>
    </w:lvl>
  </w:abstractNum>
  <w:abstractNum w:abstractNumId="20">
    <w:nsid w:val="15B5AF5C"/>
    <w:multiLevelType w:val="hybridMultilevel"/>
    <w:lvl w:ilvl="0">
      <w:lvlJc w:val="left"/>
      <w:lvlText w:val="(%1)"/>
      <w:numFmt w:val="upperLetter"/>
      <w:start w:val="2"/>
    </w:lvl>
    <w:lvl w:ilvl="1">
      <w:lvlJc w:val="left"/>
      <w:lvlText w:val="(%2)"/>
      <w:numFmt w:val="lowerRoman"/>
      <w:start w:val="1"/>
    </w:lvl>
  </w:abstractNum>
  <w:abstractNum w:abstractNumId="21">
    <w:nsid w:val="741226BB"/>
    <w:multiLevelType w:val="hybridMultilevel"/>
    <w:lvl w:ilvl="0">
      <w:lvlJc w:val="left"/>
      <w:lvlText w:val="%1"/>
      <w:numFmt w:val="upperLetter"/>
      <w:start w:val="1"/>
    </w:lvl>
    <w:lvl w:ilvl="1">
      <w:lvlJc w:val="left"/>
      <w:lvlText w:val="(%2)"/>
      <w:numFmt w:val="lowerRoman"/>
      <w:start w:val="4"/>
    </w:lvl>
  </w:abstractNum>
  <w:abstractNum w:abstractNumId="22">
    <w:nsid w:val="D34B6A8"/>
    <w:multiLevelType w:val="hybridMultilevel"/>
    <w:lvl w:ilvl="0">
      <w:lvlJc w:val="left"/>
      <w:lvlText w:val="(%1)"/>
      <w:numFmt w:val="upperLetter"/>
      <w:start w:val="4"/>
    </w:lvl>
    <w:lvl w:ilvl="1">
      <w:lvlJc w:val="left"/>
      <w:lvlText w:val="%2"/>
      <w:numFmt w:val="lowerRoman"/>
      <w:start w:val="1"/>
    </w:lvl>
  </w:abstractNum>
  <w:abstractNum w:abstractNumId="23">
    <w:nsid w:val="10233C99"/>
    <w:multiLevelType w:val="hybridMultilevel"/>
    <w:lvl w:ilvl="0">
      <w:lvlJc w:val="left"/>
      <w:lvlText w:val="(%1)"/>
      <w:numFmt w:val="upperLetter"/>
      <w:start w:val="1"/>
    </w:lvl>
    <w:lvl w:ilvl="1">
      <w:lvlJc w:val="left"/>
      <w:lvlText w:val="(%2)"/>
      <w:numFmt w:val="lowerRoman"/>
      <w:start w:val="1"/>
    </w:lvl>
  </w:abstractNum>
  <w:abstractNum w:abstractNumId="24">
    <w:nsid w:val="3F6AB60F"/>
    <w:multiLevelType w:val="hybridMultilevel"/>
    <w:lvl w:ilvl="0">
      <w:lvlJc w:val="left"/>
      <w:lvlText w:val="(%1)"/>
      <w:numFmt w:val="upperLetter"/>
      <w:start w:val="2"/>
    </w:lvl>
  </w:abstractNum>
  <w:abstractNum w:abstractNumId="25">
    <w:nsid w:val="61574095"/>
    <w:multiLevelType w:val="hybridMultilevel"/>
    <w:lvl w:ilvl="0">
      <w:lvlJc w:val="left"/>
      <w:lvlText w:val="(%1)"/>
      <w:numFmt w:val="upperLetter"/>
      <w:start w:val="1"/>
    </w:lvl>
  </w:abstractNum>
  <w:abstractNum w:abstractNumId="26">
    <w:nsid w:val="7E0C57B1"/>
    <w:multiLevelType w:val="hybridMultilevel"/>
    <w:lvl w:ilvl="0">
      <w:lvlJc w:val="left"/>
      <w:lvlText w:val="(%1)"/>
      <w:numFmt w:val="upperLetter"/>
      <w:start w:val="3"/>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lowerLetter"/>
      <w:start w:val="4"/>
    </w:lvl>
  </w:abstractNum>
  <w:abstractNum w:abstractNumId="29">
    <w:nsid w:val="310C50B3"/>
    <w:multiLevelType w:val="hybridMultilevel"/>
    <w:lvl w:ilvl="0">
      <w:lvlJc w:val="left"/>
      <w:lvlText w:val="%1"/>
      <w:numFmt w:val="upperLetter"/>
      <w:start w:val="1"/>
    </w:lvl>
    <w:lvl w:ilvl="1">
      <w:lvlJc w:val="left"/>
      <w:lvlText w:val="(%2)"/>
      <w:numFmt w:val="lowerLetter"/>
      <w:start w:val="6"/>
    </w:lvl>
  </w:abstractNum>
  <w:abstractNum w:abstractNumId="30">
    <w:nsid w:val="5FF87E05"/>
    <w:multiLevelType w:val="hybridMultilevel"/>
    <w:lvl w:ilvl="0">
      <w:lvlJc w:val="left"/>
      <w:lvlText w:val="(%1)"/>
      <w:numFmt w:val="upperLetter"/>
      <w:start w:val="6"/>
    </w:lvl>
    <w:lvl w:ilvl="1">
      <w:lvlJc w:val="left"/>
      <w:lvlText w:val="(%2)"/>
      <w:numFmt w:val="lowerLetter"/>
      <w:start w:val="8"/>
    </w:lvl>
  </w:abstractNum>
  <w:abstractNum w:abstractNumId="31">
    <w:nsid w:val="2F305DEF"/>
    <w:multiLevelType w:val="hybridMultilevel"/>
    <w:lvl w:ilvl="0">
      <w:lvlJc w:val="left"/>
      <w:lvlText w:val="(%1)"/>
      <w:numFmt w:val="lowerLetter"/>
      <w:start w:val="10"/>
    </w:lvl>
  </w:abstractNum>
  <w:abstractNum w:abstractNumId="32">
    <w:nsid w:val="25A70BF7"/>
    <w:multiLevelType w:val="hybridMultilevel"/>
    <w:lvl w:ilvl="0">
      <w:lvlJc w:val="left"/>
      <w:lvlText w:val="(%1)"/>
      <w:numFmt w:val="lowerLetter"/>
      <w:start w:val="2"/>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35">
    <w:nsid w:val="1F48EAA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36">
    <w:nsid w:val="1381823A"/>
    <w:multiLevelType w:val="hybridMultilevel"/>
    <w:lvl w:ilvl="0">
      <w:lvlJc w:val="left"/>
      <w:lvlText w:val="(%1)"/>
      <w:numFmt w:val="upperLetter"/>
      <w:start w:val="5"/>
    </w:lvl>
  </w:abstractNum>
  <w:abstractNum w:abstractNumId="37">
    <w:nsid w:val="5DB70AE5"/>
    <w:multiLevelType w:val="hybridMultilevel"/>
    <w:lvl w:ilvl="0">
      <w:lvlJc w:val="left"/>
      <w:lvlText w:val="(%1)"/>
      <w:numFmt w:val="upperLetter"/>
      <w:start w:val="7"/>
    </w:lvl>
  </w:abstractNum>
  <w:abstractNum w:abstractNumId="38">
    <w:nsid w:val="100F8FCA"/>
    <w:multiLevelType w:val="hybridMultilevel"/>
    <w:lvl w:ilvl="0">
      <w:lvlJc w:val="left"/>
      <w:lvlText w:val="(%1)"/>
      <w:numFmt w:val="upperLetter"/>
      <w:start w:val="13"/>
    </w:lvl>
    <w:lvl w:ilvl="1">
      <w:lvlJc w:val="left"/>
      <w:lvlText w:val="(%2)"/>
      <w:numFmt w:val="lowerLetter"/>
      <w:start w:val="4"/>
    </w:lvl>
  </w:abstractNum>
  <w:abstractNum w:abstractNumId="39">
    <w:nsid w:val="6590700B"/>
    <w:multiLevelType w:val="hybridMultilevel"/>
    <w:lvl w:ilvl="0">
      <w:lvlJc w:val="left"/>
      <w:lvlText w:val="(%1)"/>
      <w:numFmt w:val="lowerLetter"/>
      <w:start w:val="7"/>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lowerLetter"/>
      <w:start w:val="3"/>
    </w:lvl>
  </w:abstractNum>
  <w:abstractNum w:abstractNumId="42">
    <w:nsid w:val="98A3148"/>
    <w:multiLevelType w:val="hybridMultilevel"/>
    <w:lvl w:ilvl="0">
      <w:lvlJc w:val="left"/>
      <w:lvlText w:val="(%1)"/>
      <w:numFmt w:val="lowerLetter"/>
      <w:start w:val="6"/>
    </w:lvl>
  </w:abstractNum>
  <w:abstractNum w:abstractNumId="43">
    <w:nsid w:val="799D0247"/>
    <w:multiLevelType w:val="hybridMultilevel"/>
    <w:lvl w:ilvl="0">
      <w:lvlJc w:val="left"/>
      <w:lvlText w:val="(%1)"/>
      <w:numFmt w:val="lowerLetter"/>
      <w:start w:val="1"/>
    </w:lvl>
  </w:abstractNum>
  <w:abstractNum w:abstractNumId="44">
    <w:nsid w:val="6B94764"/>
    <w:multiLevelType w:val="hybridMultilevel"/>
    <w:lvl w:ilvl="0">
      <w:lvlJc w:val="left"/>
      <w:lvlText w:val="(%1)"/>
      <w:numFmt w:val="lowerLetter"/>
      <w:start w:val="3"/>
    </w:lvl>
  </w:abstractNum>
  <w:abstractNum w:abstractNumId="45">
    <w:nsid w:val="42C296B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6">
    <w:nsid w:val="168E121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7">
    <w:nsid w:val="1EBA5D23"/>
    <w:multiLevelType w:val="hybridMultilevel"/>
    <w:lvl w:ilvl="0">
      <w:lvlJc w:val="left"/>
      <w:lvlText w:val="(%1)"/>
      <w:numFmt w:val="lowerLetter"/>
      <w:start w:val="2"/>
    </w:lvl>
    <w:lvl w:ilvl="1">
      <w:lvlJc w:val="left"/>
      <w:lvlText w:val="(%2)"/>
      <w:numFmt w:val="lowerRoman"/>
      <w:start w:val="1"/>
    </w:lvl>
  </w:abstractNum>
  <w:abstractNum w:abstractNumId="48">
    <w:nsid w:val="661E3F1E"/>
    <w:multiLevelType w:val="hybridMultilevel"/>
    <w:lvl w:ilvl="0">
      <w:lvlJc w:val="left"/>
      <w:lvlText w:val="%1"/>
      <w:numFmt w:val="lowerLetter"/>
      <w:start w:val="1"/>
    </w:lvl>
    <w:lvl w:ilvl="1">
      <w:lvlJc w:val="left"/>
      <w:lvlText w:val="(%2)"/>
      <w:numFmt w:val="lowerLetter"/>
      <w:start w:val="61"/>
    </w:lvl>
  </w:abstractNum>
  <w:abstractNum w:abstractNumId="49">
    <w:nsid w:val="5DC79EA8"/>
    <w:multiLevelType w:val="hybridMultilevel"/>
    <w:lvl w:ilvl="0">
      <w:lvlJc w:val="left"/>
      <w:lvlText w:val="(%1)"/>
      <w:numFmt w:val="lowerLetter"/>
      <w:start w:val="3"/>
    </w:lvl>
    <w:lvl w:ilvl="1">
      <w:lvlJc w:val="left"/>
      <w:lvlText w:val="(%2)"/>
      <w:numFmt w:val="lowerLetter"/>
      <w:start w:val="9"/>
    </w:lvl>
  </w:abstractNum>
  <w:abstractNum w:abstractNumId="50">
    <w:nsid w:val="540A471C"/>
    <w:multiLevelType w:val="hybridMultilevel"/>
    <w:lvl w:ilvl="0">
      <w:lvlJc w:val="left"/>
      <w:lvlText w:val="(%1)"/>
      <w:numFmt w:val="lowerRoman"/>
      <w:start w:val="2"/>
    </w:lvl>
  </w:abstractNum>
  <w:abstractNum w:abstractNumId="51">
    <w:nsid w:val="7BD3EE7B"/>
    <w:multiLevelType w:val="hybridMultilevel"/>
    <w:lvl w:ilvl="0">
      <w:lvlJc w:val="left"/>
      <w:lvlText w:val="%1"/>
      <w:numFmt w:val="lowerLetter"/>
      <w:start w:val="1"/>
    </w:lvl>
    <w:lvl w:ilvl="1">
      <w:lvlJc w:val="left"/>
      <w:lvlText w:val="(%2)"/>
      <w:numFmt w:val="lowerLetter"/>
      <w:start w:val="61"/>
    </w:lvl>
  </w:abstractNum>
  <w:abstractNum w:abstractNumId="52">
    <w:nsid w:val="51D9C564"/>
    <w:multiLevelType w:val="hybridMultilevel"/>
    <w:lvl w:ilvl="0">
      <w:lvlJc w:val="left"/>
      <w:lvlText w:val="(%1)"/>
      <w:numFmt w:val="lowerLetter"/>
      <w:start w:val="4"/>
    </w:lvl>
    <w:lvl w:ilvl="1">
      <w:lvlJc w:val="left"/>
      <w:lvlText w:val="(%2)"/>
      <w:numFmt w:val="lowerLetter"/>
      <w:start w:val="9"/>
    </w:lvl>
  </w:abstractNum>
  <w:abstractNum w:abstractNumId="53">
    <w:nsid w:val="613EFDC5"/>
    <w:multiLevelType w:val="hybridMultilevel"/>
    <w:lvl w:ilvl="0">
      <w:lvlJc w:val="left"/>
      <w:lvlText w:val="(%1)"/>
      <w:numFmt w:val="lowerRoman"/>
      <w:start w:val="2"/>
    </w:lvl>
  </w:abstractNum>
  <w:abstractNum w:abstractNumId="54">
    <w:nsid w:val="BF72B14"/>
    <w:multiLevelType w:val="hybridMultilevel"/>
    <w:lvl w:ilvl="0">
      <w:lvlJc w:val="left"/>
      <w:lvlText w:val="(%1)"/>
      <w:numFmt w:val="lowerRoman"/>
      <w:start w:val="4"/>
    </w:lvl>
    <w:lvl w:ilvl="1">
      <w:lvlJc w:val="left"/>
      <w:lvlText w:val="(%2)"/>
      <w:numFmt w:val="upperLetter"/>
      <w:start w:val="1"/>
    </w:lvl>
  </w:abstractNum>
  <w:abstractNum w:abstractNumId="55">
    <w:nsid w:val="11447B73"/>
    <w:multiLevelType w:val="hybridMultilevel"/>
    <w:lvl w:ilvl="0">
      <w:lvlJc w:val="left"/>
      <w:lvlText w:val="(%1)"/>
      <w:numFmt w:val="upperLetter"/>
      <w:start w:val="9"/>
    </w:lvl>
  </w:abstractNum>
  <w:abstractNum w:abstractNumId="56">
    <w:nsid w:val="42963E5A"/>
    <w:multiLevelType w:val="hybridMultilevel"/>
    <w:lvl w:ilvl="0">
      <w:lvlJc w:val="left"/>
      <w:lvlText w:val="(%1)"/>
      <w:numFmt w:val="lowerLetter"/>
      <w:start w:val="5"/>
    </w:lvl>
    <w:lvl w:ilvl="1">
      <w:lvlJc w:val="left"/>
      <w:lvlText w:val="(%2)"/>
      <w:numFmt w:val="lowerLetter"/>
      <w:start w:val="9"/>
    </w:lvl>
  </w:abstractNum>
  <w:abstractNum w:abstractNumId="57">
    <w:nsid w:val="A0382C5"/>
    <w:multiLevelType w:val="hybridMultilevel"/>
    <w:lvl w:ilvl="0">
      <w:lvlJc w:val="left"/>
      <w:lvlText w:val="%1"/>
      <w:numFmt w:val="upperLetter"/>
      <w:start w:val="1"/>
    </w:lvl>
    <w:lvl w:ilvl="1">
      <w:lvlJc w:val="left"/>
      <w:lvlText w:val="(%2)"/>
      <w:numFmt w:val="lowerRoman"/>
      <w:start w:val="2"/>
    </w:lvl>
  </w:abstractNum>
  <w:abstractNum w:abstractNumId="58">
    <w:nsid w:val="8F2B15E"/>
    <w:multiLevelType w:val="hybridMultilevel"/>
    <w:lvl w:ilvl="0">
      <w:lvlJc w:val="left"/>
      <w:lvlText w:val="(%1)"/>
      <w:numFmt w:val="upperLetter"/>
      <w:start w:val="2"/>
    </w:lvl>
    <w:lvl w:ilvl="1">
      <w:lvlJc w:val="left"/>
      <w:lvlText w:val="%2"/>
      <w:numFmt w:val="lowerRoman"/>
      <w:start w:val="1"/>
    </w:lvl>
  </w:abstractNum>
  <w:abstractNum w:abstractNumId="59">
    <w:nsid w:val="1A32234B"/>
    <w:multiLevelType w:val="hybridMultilevel"/>
    <w:lvl w:ilvl="0">
      <w:lvlJc w:val="left"/>
      <w:lvlText w:val="(%1)"/>
      <w:numFmt w:val="lowerRoman"/>
      <w:start w:val="3"/>
    </w:lvl>
  </w:abstractNum>
  <w:abstractNum w:abstractNumId="60">
    <w:nsid w:val="3B0FD379"/>
    <w:multiLevelType w:val="hybridMultilevel"/>
    <w:lvl w:ilvl="0">
      <w:lvlJc w:val="left"/>
      <w:lvlText w:val="(%1)"/>
      <w:numFmt w:val="lowerLetter"/>
      <w:start w:val="6"/>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2"/>
    </w:lvl>
  </w:abstractNum>
  <w:abstractNum w:abstractNumId="64">
    <w:nsid w:val="6A5EE64"/>
    <w:multiLevelType w:val="hybridMultilevel"/>
    <w:lvl w:ilvl="0">
      <w:lvlJc w:val="left"/>
      <w:lvlText w:val="%1."/>
      <w:numFmt w:val="decimal"/>
      <w:start w:val="5"/>
    </w:lvl>
  </w:abstractNum>
  <w:abstractNum w:abstractNumId="65">
    <w:nsid w:val="14330624"/>
    <w:multiLevelType w:val="hybridMultilevel"/>
    <w:lvl w:ilvl="0">
      <w:lvlJc w:val="left"/>
      <w:lvlText w:val="%1"/>
      <w:numFmt w:val="lowerLetter"/>
      <w:start w:val="1"/>
    </w:lvl>
    <w:lvl w:ilvl="1">
      <w:lvlJc w:val="left"/>
      <w:lvlText w:val="%2."/>
      <w:numFmt w:val="decimal"/>
      <w:start w:val="6"/>
    </w:lvl>
  </w:abstractNum>
  <w:abstractNum w:abstractNumId="66">
    <w:nsid w:val="7FFFCA11"/>
    <w:multiLevelType w:val="hybridMultilevel"/>
    <w:lvl w:ilvl="0">
      <w:lvlJc w:val="left"/>
      <w:lvlText w:val="(%1)"/>
      <w:numFmt w:val="lowerLetter"/>
      <w:start w:val="2"/>
    </w:lvl>
    <w:lvl w:ilvl="1">
      <w:lvlJc w:val="left"/>
      <w:lvlText w:val="%2"/>
      <w:numFmt w:val="decimal"/>
      <w:start w:val="1"/>
    </w:lvl>
  </w:abstractNum>
  <w:abstractNum w:abstractNumId="67">
    <w:nsid w:val="1A27709E"/>
    <w:multiLevelType w:val="hybridMultilevel"/>
    <w:lvl w:ilvl="0">
      <w:lvlJc w:val="left"/>
      <w:lvlText w:val="%1."/>
      <w:numFmt w:val="decimal"/>
      <w:start w:val="9"/>
    </w:lvl>
  </w:abstractNum>
  <w:abstractNum w:abstractNumId="68">
    <w:nsid w:val="71EA1109"/>
    <w:multiLevelType w:val="hybridMultilevel"/>
    <w:lvl w:ilvl="0">
      <w:lvlJc w:val="left"/>
      <w:lvlText w:val="%1."/>
      <w:numFmt w:val="decimal"/>
      <w:start w:val="2"/>
    </w:lvl>
  </w:abstractNum>
  <w:abstractNum w:abstractNumId="69">
    <w:nsid w:val="100F59DC"/>
    <w:multiLevelType w:val="hybridMultilevel"/>
    <w:lvl w:ilvl="0">
      <w:lvlJc w:val="left"/>
      <w:lvlText w:val="(%1)"/>
      <w:numFmt w:val="lowerRoman"/>
      <w:start w:val="3"/>
    </w:lvl>
  </w:abstractNum>
  <w:abstractNum w:abstractNumId="70">
    <w:nsid w:val="7FB7E0AA"/>
    <w:multiLevelType w:val="hybridMultilevel"/>
    <w:lvl w:ilvl="0">
      <w:lvlJc w:val="left"/>
      <w:lvlText w:val="%1."/>
      <w:numFmt w:val="decimal"/>
      <w:start w:val="12"/>
    </w:lvl>
  </w:abstractNum>
  <w:abstractNum w:abstractNumId="71">
    <w:nsid w:val="6EB5BD4"/>
    <w:multiLevelType w:val="hybridMultilevel"/>
    <w:lvl w:ilvl="0">
      <w:lvlJc w:val="left"/>
      <w:lvlText w:val="%1."/>
      <w:numFmt w:val="decimal"/>
      <w:start w:val="13"/>
    </w:lvl>
  </w:abstractNum>
  <w:abstractNum w:abstractNumId="72">
    <w:nsid w:val="6F6DD9AC"/>
    <w:multiLevelType w:val="hybridMultilevel"/>
    <w:lvl w:ilvl="0">
      <w:lvlJc w:val="left"/>
      <w:lvlText w:val="(%1)"/>
      <w:numFmt w:val="lowerRoman"/>
      <w:start w:val="7"/>
    </w:lvl>
    <w:lvl w:ilvl="1">
      <w:lvlJc w:val="left"/>
      <w:lvlText w:val="%2."/>
      <w:numFmt w:val="decimal"/>
      <w:start w:val="14"/>
    </w:lvl>
  </w:abstractNum>
  <w:abstractNum w:abstractNumId="73">
    <w:nsid w:val="94211F2"/>
    <w:multiLevelType w:val="hybridMultilevel"/>
    <w:lvl w:ilvl="0">
      <w:lvlJc w:val="left"/>
      <w:lvlText w:val="(%1)"/>
      <w:numFmt w:val="lowerLetter"/>
      <w:start w:val="1"/>
    </w:lvl>
  </w:abstractNum>
  <w:abstractNum w:abstractNumId="74">
    <w:nsid w:val="885E1B"/>
    <w:multiLevelType w:val="hybridMultilevel"/>
    <w:lvl w:ilvl="0">
      <w:lvlJc w:val="left"/>
      <w:lvlText w:val="(%1)"/>
      <w:numFmt w:val="lowerLetter"/>
      <w:start w:val="5"/>
    </w:lvl>
  </w:abstractNum>
  <w:abstractNum w:abstractNumId="75">
    <w:nsid w:val="76272110"/>
    <w:multiLevelType w:val="hybridMultilevel"/>
    <w:lvl w:ilvl="0">
      <w:lvlJc w:val="left"/>
      <w:lvlText w:val="%1."/>
      <w:numFmt w:val="decimal"/>
      <w:start w:val="18"/>
    </w:lvl>
  </w:abstractNum>
  <w:abstractNum w:abstractNumId="76">
    <w:nsid w:val="4C04A8AF"/>
    <w:multiLevelType w:val="hybridMultilevel"/>
    <w:lvl w:ilvl="0">
      <w:lvlJc w:val="left"/>
      <w:lvlText w:val="%1."/>
      <w:numFmt w:val="decimal"/>
      <w:start w:val="24"/>
    </w:lvl>
  </w:abstractNum>
  <w:abstractNum w:abstractNumId="77">
    <w:nsid w:val="1716703B"/>
    <w:multiLevelType w:val="hybridMultilevel"/>
    <w:lvl w:ilvl="0">
      <w:lvlJc w:val="left"/>
      <w:lvlText w:val="%1."/>
      <w:numFmt w:val="decimal"/>
      <w:start w:val="3"/>
    </w:lvl>
    <w:lvl w:ilvl="1">
      <w:lvlJc w:val="left"/>
      <w:lvlText w:val="(%2)"/>
      <w:numFmt w:val="lowerLetter"/>
      <w:start w:val="1"/>
    </w:lvl>
  </w:abstractNum>
  <w:abstractNum w:abstractNumId="78">
    <w:nsid w:val="14E17E33"/>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79">
    <w:nsid w:val="3222E7CD"/>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80">
    <w:nsid w:val="74DE0E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81">
    <w:nsid w:val="68EBC550"/>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82">
    <w:nsid w:val="2DF6D64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83">
    <w:nsid w:val="46B7D447"/>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84">
    <w:nsid w:val="4A2AC31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85">
    <w:nsid w:val="39EE015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86">
    <w:nsid w:val="57FC4FB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87">
    <w:nsid w:val="CC1016F"/>
    <w:multiLevelType w:val="hybridMultilevel"/>
    <w:lvl w:ilvl="0">
      <w:lvlJc w:val="left"/>
      <w:lvlText w:val="%1"/>
      <w:numFmt w:val="decimal"/>
      <w:start w:val="1"/>
    </w:lvl>
    <w:lvl w:ilvl="1">
      <w:lvlJc w:val="left"/>
      <w:lvlText w:val="(%2)"/>
      <w:numFmt w:val="decimal"/>
      <w:start w:val="2"/>
    </w:lvl>
  </w:abstractNum>
  <w:abstractNum w:abstractNumId="88">
    <w:nsid w:val="43F18422"/>
    <w:multiLevelType w:val="hybridMultilevel"/>
    <w:lvl w:ilvl="0">
      <w:lvlJc w:val="left"/>
      <w:lvlText w:val="%1."/>
      <w:numFmt w:val="decimal"/>
      <w:start w:val="8"/>
    </w:lvl>
    <w:lvl w:ilvl="1">
      <w:lvlJc w:val="left"/>
      <w:lvlText w:val="%2"/>
      <w:numFmt w:val="decimal"/>
      <w:start w:val="1"/>
    </w:lvl>
  </w:abstractNum>
  <w:abstractNum w:abstractNumId="89">
    <w:nsid w:val="60EF0119"/>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90">
    <w:nsid w:val="26F324BA"/>
    <w:multiLevelType w:val="hybridMultilevel"/>
    <w:lvl w:ilvl="0">
      <w:lvlJc w:val="left"/>
      <w:lvlText w:val="(%1)"/>
      <w:numFmt w:val="lowerRoman"/>
      <w:start w:val="1"/>
    </w:lvl>
    <w:lvl w:ilvl="1">
      <w:lvlJc w:val="left"/>
      <w:lvlText w:val="(%2)"/>
      <w:numFmt w:val="upperLetter"/>
      <w:start w:val="1"/>
    </w:lvl>
  </w:abstractNum>
  <w:abstractNum w:abstractNumId="91">
    <w:nsid w:val="7F01579B"/>
    <w:multiLevelType w:val="hybridMultilevel"/>
    <w:lvl w:ilvl="0">
      <w:lvlJc w:val="left"/>
      <w:lvlText w:val="(%1)"/>
      <w:numFmt w:val="upperLetter"/>
      <w:start w:val="23"/>
    </w:lvl>
    <w:lvl w:ilvl="1">
      <w:lvlJc w:val="left"/>
      <w:lvlText w:val="(%2)"/>
      <w:numFmt w:val="decimal"/>
      <w:start w:val="1"/>
    </w:lvl>
    <w:lvl w:ilvl="2">
      <w:lvlJc w:val="left"/>
      <w:lvlText w:val="(%3)"/>
      <w:numFmt w:val="lowerRoman"/>
      <w:start w:val="1"/>
    </w:lvl>
    <w:lvl w:ilvl="3">
      <w:lvlJc w:val="left"/>
      <w:lvlText w:val="(%4)"/>
      <w:numFmt w:val="upperLetter"/>
      <w:start w:val="5"/>
    </w:lvl>
  </w:abstractNum>
  <w:abstractNum w:abstractNumId="92">
    <w:nsid w:val="49DA307D"/>
    <w:multiLevelType w:val="hybridMultilevel"/>
    <w:lvl w:ilvl="0">
      <w:lvlJc w:val="left"/>
      <w:lvlText w:val="(%1)"/>
      <w:numFmt w:val="lowerRoman"/>
      <w:start w:val="3"/>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lowerLetter"/>
      <w:start w:val="6"/>
    </w:lvl>
  </w:abstractNum>
  <w:abstractNum w:abstractNumId="95">
    <w:nsid w:val="50801EE1"/>
    <w:multiLevelType w:val="hybridMultilevel"/>
    <w:lvl w:ilvl="0">
      <w:lvlJc w:val="left"/>
      <w:lvlText w:val="%1"/>
      <w:numFmt w:val="decimal"/>
      <w:start w:val="11"/>
    </w:lvl>
    <w:lvl w:ilvl="1">
      <w:lvlJc w:val="left"/>
      <w:lvlText w:val="(%2)"/>
      <w:numFmt w:val="lowerLetter"/>
      <w:start w:val="1"/>
    </w:lvl>
  </w:abstractNum>
  <w:abstractNum w:abstractNumId="96">
    <w:nsid w:val="488AC1A"/>
    <w:multiLevelType w:val="hybridMultilevel"/>
    <w:lvl w:ilvl="0">
      <w:lvlJc w:val="left"/>
      <w:lvlText w:val="(%1)"/>
      <w:numFmt w:val="lowerLetter"/>
      <w:start w:val="3"/>
    </w:lvl>
  </w:abstractNum>
  <w:abstractNum w:abstractNumId="97">
    <w:nsid w:val="5FB8011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2026-05-13T15:41:07Z</dcterms:created>
  <dcterms:modified xsi:type="dcterms:W3CDTF">2026-05-13T15:41:07Z</dcterms:modified>
</cp:coreProperties>
</file>