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17447.xml.htm"/>
      <w:bookmarkStart w:id="1" w:name="kswkform4_17894174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Howell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841"/>
        <w:gridCol w:w="1195"/>
        <w:gridCol w:w="997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16,804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106.79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16,696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 one share of Akamai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September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12, 2023, the Reporting Person was granted 3,845 RSUs. Such RSUs vest over three years as follows: 1/3 on the first anniversary of the date of grant with the remaining 2/3 vesting in equal installments of 8-1/3% each quarter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203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3565</Characters>
  <CharactersWithSpaces>4139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