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Karon Adam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140"/>
              <w:spacing w:after="0" w:line="185" w:lineRule="exact"/>
              <w:rPr>
                <w:sz w:val="20"/>
                <w:szCs w:val="20"/>
                <w:color w:val="auto"/>
              </w:rPr>
            </w:pPr>
            <w:r>
              <w:rPr>
                <w:rFonts w:ascii="Times New Roman" w:cs="Times New Roman" w:eastAsia="Times New Roman" w:hAnsi="Times New Roman"/>
                <w:sz w:val="17"/>
                <w:szCs w:val="17"/>
                <w:color w:val="0000FF"/>
              </w:rPr>
              <w:t>COO &amp; GM Edge Technology Group</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03/12/2026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17,000</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107.4264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21,332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169.621</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$107.39 to $107.52,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beneficially owned includes 14,222 shares of which the Reporting Person has elected to defer receipt pursuant to the Akamai Technologies, Inc. Amended and Restated U.S. Non-Qualified Deferred Compensation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March 11,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9796"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2026-03-12T15:25:10Z</dcterms:created>
  <dcterms:modified xsi:type="dcterms:W3CDTF">2026-03-12T15:25:10Z</dcterms:modified>
</cp:coreProperties>
</file>