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131445</wp:posOffset>
            </wp:positionV>
            <wp:extent cx="1174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u w:val="single" w:color="auto"/>
          <w:color w:val="auto"/>
        </w:rPr>
        <w:t>April 21, 2005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AKAMAI TECHNOLOGIES,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6"/>
          </w:tcPr>
          <w:p>
            <w:pPr>
              <w:jc w:val="center"/>
              <w:ind w:right="460"/>
              <w:spacing w:after="0"/>
              <w:rPr>
                <w:sz w:val="20"/>
                <w:szCs w:val="20"/>
                <w:color w:val="auto"/>
              </w:rPr>
            </w:pPr>
            <w:r>
              <w:rPr>
                <w:rFonts w:ascii="Arial" w:cs="Arial" w:eastAsia="Arial" w:hAnsi="Arial"/>
                <w:sz w:val="18"/>
                <w:szCs w:val="18"/>
                <w:color w:val="auto"/>
                <w:w w:val="91"/>
              </w:rPr>
              <w:t>(Exact Name of Registrant as Specified in Charter)</w:t>
            </w:r>
          </w:p>
        </w:tc>
        <w:tc>
          <w:tcPr>
            <w:tcW w:w="3260" w:type="dxa"/>
            <w:vAlign w:val="bottom"/>
          </w:tcPr>
          <w:p>
            <w:pPr>
              <w:spacing w:after="0"/>
              <w:rPr>
                <w:sz w:val="20"/>
                <w:szCs w:val="20"/>
                <w:color w:val="auto"/>
              </w:rPr>
            </w:pPr>
          </w:p>
        </w:tc>
      </w:tr>
      <w:tr>
        <w:trPr>
          <w:trHeight w:val="432"/>
        </w:trPr>
        <w:tc>
          <w:tcPr>
            <w:tcW w:w="3020" w:type="dxa"/>
            <w:vAlign w:val="bottom"/>
          </w:tcPr>
          <w:p>
            <w:pPr>
              <w:jc w:val="center"/>
              <w:ind w:left="470"/>
              <w:spacing w:after="0"/>
              <w:rPr>
                <w:sz w:val="20"/>
                <w:szCs w:val="20"/>
                <w:color w:val="auto"/>
              </w:rPr>
            </w:pPr>
            <w:r>
              <w:rPr>
                <w:rFonts w:ascii="Arial" w:cs="Arial" w:eastAsia="Arial" w:hAnsi="Arial"/>
                <w:sz w:val="18"/>
                <w:szCs w:val="18"/>
                <w:color w:val="auto"/>
                <w:w w:val="92"/>
              </w:rPr>
              <w:t>Delaware</w:t>
            </w:r>
          </w:p>
        </w:tc>
        <w:tc>
          <w:tcPr>
            <w:tcW w:w="4020" w:type="dxa"/>
            <w:vAlign w:val="bottom"/>
            <w:gridSpan w:val="4"/>
          </w:tcPr>
          <w:p>
            <w:pPr>
              <w:jc w:val="center"/>
              <w:ind w:left="1250"/>
              <w:spacing w:after="0"/>
              <w:rPr>
                <w:sz w:val="20"/>
                <w:szCs w:val="20"/>
                <w:color w:val="auto"/>
              </w:rPr>
            </w:pPr>
            <w:r>
              <w:rPr>
                <w:rFonts w:ascii="Arial" w:cs="Arial" w:eastAsia="Arial" w:hAnsi="Arial"/>
                <w:sz w:val="18"/>
                <w:szCs w:val="18"/>
                <w:color w:val="auto"/>
                <w:w w:val="90"/>
              </w:rPr>
              <w:t>0-27275</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right"/>
              <w:ind w:right="1270"/>
              <w:spacing w:after="0"/>
              <w:rPr>
                <w:sz w:val="20"/>
                <w:szCs w:val="20"/>
                <w:color w:val="auto"/>
              </w:rPr>
            </w:pPr>
            <w:r>
              <w:rPr>
                <w:rFonts w:ascii="Arial" w:cs="Arial" w:eastAsia="Arial" w:hAnsi="Arial"/>
                <w:sz w:val="18"/>
                <w:szCs w:val="18"/>
                <w:color w:val="auto"/>
              </w:rPr>
              <w:t>04-3432319</w:t>
            </w:r>
          </w:p>
        </w:tc>
      </w:tr>
      <w:tr>
        <w:trPr>
          <w:trHeight w:val="209"/>
        </w:trPr>
        <w:tc>
          <w:tcPr>
            <w:tcW w:w="302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w w:val="90"/>
              </w:rPr>
              <w:t>(State or Other Jurisdiction</w:t>
            </w: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020" w:type="dxa"/>
            <w:vAlign w:val="bottom"/>
          </w:tcPr>
          <w:p>
            <w:pPr>
              <w:jc w:val="center"/>
              <w:ind w:left="470"/>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51"/>
        </w:trPr>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80" w:type="dxa"/>
            <w:vAlign w:val="bottom"/>
            <w:gridSpan w:val="7"/>
          </w:tcPr>
          <w:p>
            <w:pPr>
              <w:jc w:val="center"/>
              <w:ind w:right="300"/>
              <w:spacing w:after="0"/>
              <w:rPr>
                <w:sz w:val="20"/>
                <w:szCs w:val="20"/>
                <w:color w:val="auto"/>
              </w:rPr>
            </w:pPr>
            <w:r>
              <w:rPr>
                <w:rFonts w:ascii="Arial" w:cs="Arial" w:eastAsia="Arial" w:hAnsi="Arial"/>
                <w:sz w:val="18"/>
                <w:szCs w:val="18"/>
                <w:color w:val="auto"/>
                <w:w w:val="88"/>
              </w:rPr>
              <w:t>8 Cambridge Center, Cambridge, Massachusetts 02142</w:t>
            </w:r>
          </w:p>
        </w:tc>
        <w:tc>
          <w:tcPr>
            <w:tcW w:w="326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3"/>
              </w:rPr>
              <w:t>(Address of Principal Executive Offices) (Zip Code)</w:t>
            </w:r>
          </w:p>
        </w:tc>
        <w:tc>
          <w:tcPr>
            <w:tcW w:w="460" w:type="dxa"/>
            <w:vAlign w:val="bottom"/>
            <w:gridSpan w:val="2"/>
          </w:tcPr>
          <w:p>
            <w:pPr>
              <w:spacing w:after="0"/>
              <w:rPr>
                <w:sz w:val="20"/>
                <w:szCs w:val="20"/>
                <w:color w:val="auto"/>
              </w:rPr>
            </w:pPr>
          </w:p>
        </w:tc>
        <w:tc>
          <w:tcPr>
            <w:tcW w:w="3260" w:type="dxa"/>
            <w:vAlign w:val="bottom"/>
          </w:tcPr>
          <w:p>
            <w:pPr>
              <w:spacing w:after="0"/>
              <w:rPr>
                <w:sz w:val="20"/>
                <w:szCs w:val="20"/>
                <w:color w:val="auto"/>
              </w:rPr>
            </w:pPr>
          </w:p>
        </w:tc>
      </w:tr>
      <w:tr>
        <w:trPr>
          <w:trHeight w:val="351"/>
        </w:trPr>
        <w:tc>
          <w:tcPr>
            <w:tcW w:w="3020" w:type="dxa"/>
            <w:vAlign w:val="bottom"/>
          </w:tcPr>
          <w:p>
            <w:pPr>
              <w:spacing w:after="0"/>
              <w:rPr>
                <w:sz w:val="24"/>
                <w:szCs w:val="24"/>
                <w:color w:val="auto"/>
              </w:rPr>
            </w:pPr>
          </w:p>
        </w:tc>
        <w:tc>
          <w:tcPr>
            <w:tcW w:w="5140" w:type="dxa"/>
            <w:vAlign w:val="bottom"/>
            <w:gridSpan w:val="8"/>
          </w:tcPr>
          <w:p>
            <w:pPr>
              <w:jc w:val="center"/>
              <w:ind w:left="150"/>
              <w:spacing w:after="0"/>
              <w:rPr>
                <w:sz w:val="20"/>
                <w:szCs w:val="20"/>
                <w:color w:val="auto"/>
              </w:rPr>
            </w:pPr>
            <w:r>
              <w:rPr>
                <w:rFonts w:ascii="Arial" w:cs="Arial" w:eastAsia="Arial" w:hAnsi="Arial"/>
                <w:sz w:val="18"/>
                <w:szCs w:val="18"/>
                <w:color w:val="auto"/>
                <w:w w:val="90"/>
              </w:rPr>
              <w:t>Registrant’s telephone number, including area code: (617) 444-3000</w:t>
            </w:r>
          </w:p>
        </w:tc>
        <w:tc>
          <w:tcPr>
            <w:tcW w:w="3260" w:type="dxa"/>
            <w:vAlign w:val="bottom"/>
          </w:tcPr>
          <w:p>
            <w:pPr>
              <w:spacing w:after="0"/>
              <w:rPr>
                <w:sz w:val="24"/>
                <w:szCs w:val="24"/>
                <w:color w:val="auto"/>
              </w:rPr>
            </w:pPr>
          </w:p>
        </w:tc>
      </w:tr>
      <w:tr>
        <w:trPr>
          <w:trHeight w:val="20"/>
        </w:trPr>
        <w:tc>
          <w:tcPr>
            <w:tcW w:w="3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51" w:lineRule="exact"/>
        <w:rPr>
          <w:sz w:val="20"/>
          <w:szCs w:val="20"/>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Material Definitive Agreement</w:t>
        </w:r>
      </w:hyperlink>
    </w:p>
    <w:p>
      <w:pPr>
        <w:spacing w:after="0" w:line="8"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April 21, 2005, the Board of Directors of Akamai Technologies, Inc. (“Akamai”) approved amendments to the Akamai Technologies, Inc. 1999 Employee Stock Purchase Plan (the “ESPP”). The amendments will be effective as of June 1, 2005, the commencement of the next offering period under the ESPP. The amendments are as follows:</w:t>
      </w:r>
    </w:p>
    <w:p>
      <w:pPr>
        <w:spacing w:after="0" w:line="141" w:lineRule="exact"/>
        <w:rPr>
          <w:sz w:val="20"/>
          <w:szCs w:val="20"/>
          <w:color w:val="auto"/>
        </w:rPr>
      </w:pPr>
    </w:p>
    <w:p>
      <w:pPr>
        <w:ind w:left="360" w:right="440" w:hanging="10"/>
        <w:spacing w:after="0" w:line="277"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of the offering periods during which an option to purchase shares of common stock of Akamai under the ESPP was changed to six months from 24 months;</w:t>
      </w:r>
    </w:p>
    <w:p>
      <w:pPr>
        <w:spacing w:after="0" w:line="129" w:lineRule="exact"/>
        <w:rPr>
          <w:rFonts w:ascii="Arial" w:cs="Arial" w:eastAsia="Arial" w:hAnsi="Arial"/>
          <w:sz w:val="18"/>
          <w:szCs w:val="18"/>
          <w:color w:val="auto"/>
        </w:rPr>
      </w:pPr>
    </w:p>
    <w:p>
      <w:pPr>
        <w:ind w:left="360" w:right="140" w:hanging="10"/>
        <w:spacing w:after="0" w:line="277" w:lineRule="auto"/>
        <w:tabs>
          <w:tab w:leader="none" w:pos="62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times a participant may elect to change his or her percentage payroll deductions during an offering period was changed to two times from four times;</w:t>
      </w:r>
    </w:p>
    <w:p>
      <w:pPr>
        <w:spacing w:after="0" w:line="143" w:lineRule="exact"/>
        <w:rPr>
          <w:rFonts w:ascii="Arial" w:cs="Arial" w:eastAsia="Arial" w:hAnsi="Arial"/>
          <w:sz w:val="18"/>
          <w:szCs w:val="18"/>
          <w:color w:val="auto"/>
        </w:rPr>
      </w:pPr>
    </w:p>
    <w:p>
      <w:pPr>
        <w:ind w:left="360" w:right="280" w:hanging="10"/>
        <w:spacing w:after="0" w:line="277" w:lineRule="auto"/>
        <w:tabs>
          <w:tab w:leader="none" w:pos="67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“Compensation,” which is used in determining a participant’s contribution to the ESPP, was amended to expressly include cash bonuses and other cash incentive payments received by the participant from Akamai; and</w:t>
      </w:r>
    </w:p>
    <w:p>
      <w:pPr>
        <w:spacing w:after="0" w:line="129" w:lineRule="exact"/>
        <w:rPr>
          <w:rFonts w:ascii="Arial" w:cs="Arial" w:eastAsia="Arial" w:hAnsi="Arial"/>
          <w:sz w:val="18"/>
          <w:szCs w:val="18"/>
          <w:color w:val="auto"/>
        </w:rPr>
      </w:pPr>
    </w:p>
    <w:p>
      <w:pPr>
        <w:ind w:left="360" w:right="240" w:hanging="10"/>
        <w:spacing w:after="0" w:line="277" w:lineRule="auto"/>
        <w:tabs>
          <w:tab w:leader="none" w:pos="66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provision was added to indicate that, upon termination of an offering period, each eligible participant will be automatically enrolled in the next offering period unless he or she provides a withdrawal notification to Akamai.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April 27, 2005</w:t>
      </w:r>
      <w:r>
        <w:rPr>
          <w:sz w:val="20"/>
          <w:szCs w:val="20"/>
          <w:color w:val="auto"/>
        </w:rPr>
        <w:tab/>
      </w:r>
      <w:r>
        <w:rPr>
          <w:rFonts w:ascii="Arial" w:cs="Arial" w:eastAsia="Arial" w:hAnsi="Arial"/>
          <w:sz w:val="17"/>
          <w:szCs w:val="17"/>
          <w:color w:val="auto"/>
        </w:rPr>
        <w:t>AKAMAI TECHNOLOGIES,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Robert Cobuzzi</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Cobuzzi,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sectPr>
      <w:pgSz w:w="11900" w:h="16838" w:orient="portrait"/>
      <w:cols w:equalWidth="0" w:num="1">
        <w:col w:w="10580"/>
      </w:cols>
      <w:pgMar w:left="240" w:top="419"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2019-12-14T22:10:59Z</dcterms:created>
  <dcterms:modified xsi:type="dcterms:W3CDTF">2019-12-14T22:10:59Z</dcterms:modified>
</cp:coreProperties>
</file>