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SECURITIES AND EXCHANGE COMMISSION</w:t>
      </w:r>
    </w:p>
    <w:p>
      <w:pPr>
        <w:jc w:val="center"/>
        <w:ind w:right="-119"/>
        <w:spacing w:after="0"/>
        <w:rPr>
          <w:sz w:val="20"/>
          <w:szCs w:val="20"/>
          <w:color w:val="auto"/>
        </w:rPr>
      </w:pPr>
      <w:r>
        <w:rPr>
          <w:rFonts w:ascii="Arial" w:cs="Arial" w:eastAsia="Arial" w:hAnsi="Arial"/>
          <w:sz w:val="20"/>
          <w:szCs w:val="20"/>
          <w:color w:val="auto"/>
        </w:rPr>
        <w:t>WASHINGTON, D.C. 20549</w:t>
      </w:r>
    </w:p>
    <w:p>
      <w:pPr>
        <w:ind w:left="4880"/>
        <w:spacing w:after="0"/>
        <w:rPr>
          <w:sz w:val="20"/>
          <w:szCs w:val="20"/>
          <w:color w:val="auto"/>
        </w:rPr>
      </w:pPr>
      <w:r>
        <w:rPr>
          <w:rFonts w:ascii="Arial" w:cs="Arial" w:eastAsia="Arial" w:hAnsi="Arial"/>
          <w:sz w:val="20"/>
          <w:szCs w:val="20"/>
          <w:color w:val="auto"/>
        </w:rPr>
        <w:t>_________________</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FORM 8-K</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Pursuant to Section 13 or 15(d) of the</w:t>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Securities Exchange Act of 1934</w:t>
      </w:r>
    </w:p>
    <w:p>
      <w:pPr>
        <w:spacing w:after="0" w:line="200" w:lineRule="exact"/>
        <w:rPr>
          <w:sz w:val="24"/>
          <w:szCs w:val="24"/>
          <w:color w:val="auto"/>
        </w:rPr>
      </w:pPr>
    </w:p>
    <w:p>
      <w:pPr>
        <w:spacing w:after="0" w:line="340"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 xml:space="preserve">Date of report: </w:t>
      </w:r>
      <w:r>
        <w:rPr>
          <w:rFonts w:ascii="Arial" w:cs="Arial" w:eastAsia="Arial" w:hAnsi="Arial"/>
          <w:sz w:val="20"/>
          <w:szCs w:val="20"/>
          <w:u w:val="single" w:color="auto"/>
          <w:color w:val="auto"/>
        </w:rPr>
        <w:t>December 11, 2012</w:t>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(Date of earliest event reported)</w:t>
      </w:r>
    </w:p>
    <w:p>
      <w:pPr>
        <w:spacing w:after="0" w:line="200" w:lineRule="exact"/>
        <w:rPr>
          <w:sz w:val="24"/>
          <w:szCs w:val="24"/>
          <w:color w:val="auto"/>
        </w:rPr>
      </w:pPr>
    </w:p>
    <w:p>
      <w:pPr>
        <w:spacing w:after="0" w:line="324" w:lineRule="exact"/>
        <w:rPr>
          <w:sz w:val="24"/>
          <w:szCs w:val="24"/>
          <w:color w:val="auto"/>
        </w:rPr>
      </w:pPr>
    </w:p>
    <w:p>
      <w:pPr>
        <w:jc w:val="center"/>
        <w:ind w:right="-119"/>
        <w:spacing w:after="0"/>
        <w:rPr>
          <w:sz w:val="20"/>
          <w:szCs w:val="20"/>
          <w:color w:val="auto"/>
        </w:rPr>
      </w:pPr>
      <w:r>
        <w:rPr>
          <w:rFonts w:ascii="Arial" w:cs="Arial" w:eastAsia="Arial" w:hAnsi="Arial"/>
          <w:sz w:val="20"/>
          <w:szCs w:val="20"/>
          <w:u w:val="single" w:color="auto"/>
          <w:color w:val="auto"/>
        </w:rPr>
        <w:t>AKAMAI TECHNOLOGIES, INC.</w:t>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(Exact Name of Registrant as Specified in Charter)</w:t>
      </w:r>
    </w:p>
    <w:p>
      <w:pPr>
        <w:spacing w:after="0" w:line="200" w:lineRule="exact"/>
        <w:rPr>
          <w:sz w:val="24"/>
          <w:szCs w:val="24"/>
          <w:color w:val="auto"/>
        </w:rPr>
      </w:pPr>
    </w:p>
    <w:p>
      <w:pPr>
        <w:spacing w:after="0" w:line="216" w:lineRule="exact"/>
        <w:rPr>
          <w:sz w:val="24"/>
          <w:szCs w:val="24"/>
          <w:color w:val="auto"/>
        </w:rPr>
      </w:pPr>
    </w:p>
    <w:p>
      <w:pPr>
        <w:ind w:left="4620"/>
        <w:spacing w:after="0"/>
        <w:tabs>
          <w:tab w:leader="none" w:pos="5580" w:val="left"/>
          <w:tab w:leader="none" w:pos="6480" w:val="left"/>
        </w:tabs>
        <w:rPr>
          <w:sz w:val="20"/>
          <w:szCs w:val="20"/>
          <w:color w:val="auto"/>
        </w:rPr>
      </w:pPr>
      <w:r>
        <w:rPr>
          <w:rFonts w:ascii="Arial" w:cs="Arial" w:eastAsia="Arial" w:hAnsi="Arial"/>
          <w:sz w:val="20"/>
          <w:szCs w:val="20"/>
          <w:u w:val="single" w:color="auto"/>
          <w:color w:val="auto"/>
        </w:rPr>
        <w:t>Delaware</w:t>
        <w:tab/>
        <w:t>0-27275</w:t>
      </w:r>
      <w:r>
        <w:rPr>
          <w:sz w:val="20"/>
          <w:szCs w:val="20"/>
          <w:color w:val="auto"/>
        </w:rPr>
        <w:tab/>
      </w:r>
      <w:r>
        <w:rPr>
          <w:rFonts w:ascii="Arial" w:cs="Arial" w:eastAsia="Arial" w:hAnsi="Arial"/>
          <w:sz w:val="16"/>
          <w:szCs w:val="16"/>
          <w:u w:val="single" w:color="auto"/>
          <w:color w:val="auto"/>
        </w:rPr>
        <w:t>04-3432319</w:t>
      </w:r>
    </w:p>
    <w:p>
      <w:pPr>
        <w:spacing w:after="0" w:line="16" w:lineRule="exact"/>
        <w:rPr>
          <w:sz w:val="24"/>
          <w:szCs w:val="24"/>
          <w:color w:val="auto"/>
        </w:rPr>
      </w:pPr>
    </w:p>
    <w:p>
      <w:pPr>
        <w:ind w:left="1420"/>
        <w:spacing w:after="0"/>
        <w:rPr>
          <w:sz w:val="20"/>
          <w:szCs w:val="20"/>
          <w:color w:val="auto"/>
        </w:rPr>
      </w:pPr>
      <w:r>
        <w:rPr>
          <w:rFonts w:ascii="Arial" w:cs="Arial" w:eastAsia="Arial" w:hAnsi="Arial"/>
          <w:sz w:val="20"/>
          <w:szCs w:val="20"/>
          <w:color w:val="auto"/>
        </w:rPr>
        <w:t>(State or Other Jurisdiction of Incorporation) (Commission File Number) (IRS Employer Identification No.)</w:t>
      </w:r>
    </w:p>
    <w:p>
      <w:pPr>
        <w:spacing w:after="0" w:line="200" w:lineRule="exact"/>
        <w:rPr>
          <w:sz w:val="24"/>
          <w:szCs w:val="24"/>
          <w:color w:val="auto"/>
        </w:rPr>
      </w:pPr>
    </w:p>
    <w:p>
      <w:pPr>
        <w:spacing w:after="0" w:line="229" w:lineRule="exact"/>
        <w:rPr>
          <w:sz w:val="24"/>
          <w:szCs w:val="24"/>
          <w:color w:val="auto"/>
        </w:rPr>
      </w:pPr>
    </w:p>
    <w:p>
      <w:pPr>
        <w:ind w:left="3540"/>
        <w:spacing w:after="0"/>
        <w:rPr>
          <w:sz w:val="20"/>
          <w:szCs w:val="20"/>
          <w:color w:val="auto"/>
        </w:rPr>
      </w:pPr>
      <w:r>
        <w:rPr>
          <w:rFonts w:ascii="Arial" w:cs="Arial" w:eastAsia="Arial" w:hAnsi="Arial"/>
          <w:sz w:val="20"/>
          <w:szCs w:val="20"/>
          <w:u w:val="single" w:color="auto"/>
          <w:color w:val="auto"/>
        </w:rPr>
        <w:t>8 Cambridge Center, Cambridge, Massachusetts 02142</w:t>
      </w:r>
    </w:p>
    <w:p>
      <w:pPr>
        <w:spacing w:after="0" w:line="16" w:lineRule="exact"/>
        <w:rPr>
          <w:sz w:val="24"/>
          <w:szCs w:val="24"/>
          <w:color w:val="auto"/>
        </w:rPr>
      </w:pPr>
    </w:p>
    <w:p>
      <w:pPr>
        <w:ind w:left="3540"/>
        <w:spacing w:after="0"/>
        <w:tabs>
          <w:tab w:leader="none" w:pos="6980" w:val="left"/>
        </w:tabs>
        <w:rPr>
          <w:sz w:val="20"/>
          <w:szCs w:val="20"/>
          <w:color w:val="auto"/>
        </w:rPr>
      </w:pPr>
      <w:r>
        <w:rPr>
          <w:rFonts w:ascii="Arial" w:cs="Arial" w:eastAsia="Arial" w:hAnsi="Arial"/>
          <w:sz w:val="20"/>
          <w:szCs w:val="20"/>
          <w:color w:val="auto"/>
        </w:rPr>
        <w:t>(Address of Principal Executive Offices)</w:t>
      </w:r>
      <w:r>
        <w:rPr>
          <w:sz w:val="20"/>
          <w:szCs w:val="20"/>
          <w:color w:val="auto"/>
        </w:rPr>
        <w:tab/>
      </w:r>
      <w:r>
        <w:rPr>
          <w:rFonts w:ascii="Arial" w:cs="Arial" w:eastAsia="Arial" w:hAnsi="Arial"/>
          <w:sz w:val="18"/>
          <w:szCs w:val="18"/>
          <w:color w:val="auto"/>
        </w:rPr>
        <w:t>(Zip Code)</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u w:val="single" w:color="auto"/>
          <w:color w:val="auto"/>
        </w:rPr>
        <w:t>(617) 444-3000</w:t>
      </w:r>
    </w:p>
    <w:p>
      <w:pPr>
        <w:spacing w:after="0" w:line="21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w:t>
      </w:r>
      <w:r>
        <w:rPr>
          <w:rFonts w:ascii="Arial" w:cs="Arial" w:eastAsia="Arial" w:hAnsi="Arial"/>
          <w:sz w:val="20"/>
          <w:szCs w:val="20"/>
          <w:i w:val="1"/>
          <w:iCs w:val="1"/>
          <w:color w:val="auto"/>
        </w:rPr>
        <w:t>see</w:t>
      </w:r>
      <w:r>
        <w:rPr>
          <w:rFonts w:ascii="Arial" w:cs="Arial" w:eastAsia="Arial" w:hAnsi="Arial"/>
          <w:sz w:val="20"/>
          <w:szCs w:val="20"/>
          <w:color w:val="auto"/>
        </w:rPr>
        <w:t xml:space="preserve"> General Instruction A.2. below):</w:t>
      </w:r>
    </w:p>
    <w:p>
      <w:pPr>
        <w:spacing w:after="0" w:line="177" w:lineRule="exact"/>
        <w:rPr>
          <w:sz w:val="24"/>
          <w:szCs w:val="24"/>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20"/>
          <w:szCs w:val="20"/>
          <w:color w:val="auto"/>
        </w:rPr>
        <w:t>Written communications pursuant to Rule 425 under the Securities Act (17 CFR 230.425)</w:t>
      </w:r>
    </w:p>
    <w:p>
      <w:pPr>
        <w:spacing w:after="0" w:line="21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Pre-commencement communications pursuant to Rule 14d-2(b) under the Exchange Act (17 CFR 240.14d-2(b))</w:t>
      </w:r>
    </w:p>
    <w:p>
      <w:pPr>
        <w:spacing w:after="0" w:line="21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Pre-commencement communications pursuant to Rule 13e-4(c) under the Exchange Act (17 CFR 240.13e-4(c))</w:t>
      </w:r>
    </w:p>
    <w:p>
      <w:pPr>
        <w:sectPr>
          <w:pgSz w:w="11900" w:h="16838" w:orient="portrait"/>
          <w:cols w:equalWidth="0" w:num="1">
            <w:col w:w="11320"/>
          </w:cols>
          <w:pgMar w:left="240" w:top="690" w:right="339" w:bottom="1440" w:gutter="0" w:footer="0" w:header="0"/>
        </w:sectPr>
      </w:pPr>
    </w:p>
    <w:bookmarkStart w:id="1" w:name="page2"/>
    <w:bookmarkEnd w:id="1"/>
    <w:p>
      <w:pPr>
        <w:ind w:right="70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38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On December 11, 2012, the Board of Directors (the “Board”) of Akamai Technologies, Inc. (“Akamai” or the “Company”) took several actions relating to the leadership of the Company.</w:t>
      </w:r>
    </w:p>
    <w:p>
      <w:pPr>
        <w:spacing w:after="0" w:line="177"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The Board elected F. Thomson Leighton, 56, to the position of President and Chief Executive Officer of the Company effective January 1, 2013. Dr. Leighton will continue to serve as a member of the Board. Dr. Leighton, a co-founder of the Company, has served as Akamai's Chief Scientist and as a director since August 1998. Dr. Leighton has also been a professor of Mathematics at the Massachusetts Institute of Technology since 1982; however, he will take a leave of absence upon assumption of his new position at Akamai. Dr. Leighton will initially continue to receive his current annual salary of $20,000, which has represented his annual compensation since 2002. The Compensation Committee of the Board is expected to review Dr. Leighton's compensation arrangements as part of its annual review of compensation for all executives in January 2013.</w:t>
      </w:r>
    </w:p>
    <w:p>
      <w:pPr>
        <w:spacing w:after="0" w:line="193" w:lineRule="exact"/>
        <w:rPr>
          <w:sz w:val="20"/>
          <w:szCs w:val="20"/>
          <w:color w:val="auto"/>
        </w:rPr>
      </w:pPr>
    </w:p>
    <w:p>
      <w:pPr>
        <w:ind w:right="560" w:firstLine="648"/>
        <w:spacing w:after="0" w:line="316" w:lineRule="auto"/>
        <w:rPr>
          <w:sz w:val="20"/>
          <w:szCs w:val="20"/>
          <w:color w:val="auto"/>
        </w:rPr>
      </w:pPr>
      <w:r>
        <w:rPr>
          <w:rFonts w:ascii="Arial" w:cs="Arial" w:eastAsia="Arial" w:hAnsi="Arial"/>
          <w:sz w:val="18"/>
          <w:szCs w:val="18"/>
          <w:color w:val="auto"/>
        </w:rPr>
        <w:t>The Board accepted the previously-announced resignation of Paul Sagan as President and Chief Executive Officer effective as of January 1, 2013. Mr. Sagan will continue to serve as a member of the Board and as Senior Advisor to the Company.</w:t>
      </w:r>
    </w:p>
    <w:p>
      <w:pPr>
        <w:spacing w:after="0" w:line="13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Board also approved promotions for the following individuals by electing them to the respective positions reflected below effective as of January 1, 2013:</w:t>
      </w:r>
    </w:p>
    <w:p>
      <w:pPr>
        <w:sectPr>
          <w:pgSz w:w="11900" w:h="16838" w:orient="portrait"/>
          <w:cols w:equalWidth="0" w:num="1">
            <w:col w:w="11420"/>
          </w:cols>
          <w:pgMar w:left="240" w:top="576" w:right="239" w:bottom="1440" w:gutter="0" w:footer="0" w:header="0"/>
        </w:sectPr>
      </w:pPr>
    </w:p>
    <w:p>
      <w:pPr>
        <w:spacing w:after="0" w:line="177" w:lineRule="exact"/>
        <w:rPr>
          <w:sz w:val="20"/>
          <w:szCs w:val="20"/>
          <w:color w:val="auto"/>
        </w:rPr>
      </w:pPr>
    </w:p>
    <w:p>
      <w:pPr>
        <w:ind w:left="660"/>
        <w:spacing w:after="0" w:line="274" w:lineRule="auto"/>
        <w:rPr>
          <w:sz w:val="20"/>
          <w:szCs w:val="20"/>
          <w:color w:val="auto"/>
        </w:rPr>
      </w:pPr>
      <w:r>
        <w:rPr>
          <w:rFonts w:ascii="Arial" w:cs="Arial" w:eastAsia="Arial" w:hAnsi="Arial"/>
          <w:sz w:val="18"/>
          <w:szCs w:val="18"/>
          <w:color w:val="auto"/>
        </w:rPr>
        <w:t>Robert Hughes Rick McConnell Robert Blumofe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9"/>
          <w:szCs w:val="19"/>
          <w:color w:val="auto"/>
        </w:rPr>
        <w:t>President, Worldwide Operations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President, Products and Development</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EVP, Platform</w:t>
      </w:r>
    </w:p>
    <w:p>
      <w:pPr>
        <w:spacing w:after="0" w:line="4" w:lineRule="exact"/>
        <w:rPr>
          <w:sz w:val="20"/>
          <w:szCs w:val="20"/>
          <w:color w:val="auto"/>
        </w:rPr>
      </w:pPr>
    </w:p>
    <w:p>
      <w:pPr>
        <w:sectPr>
          <w:pgSz w:w="11900" w:h="16838" w:orient="portrait"/>
          <w:cols w:equalWidth="0" w:num="2">
            <w:col w:w="1980" w:space="180"/>
            <w:col w:w="9260"/>
          </w:cols>
          <w:pgMar w:left="240" w:top="576" w:right="239" w:bottom="1440" w:gutter="0" w:footer="0" w:header="0"/>
          <w:type w:val="continuous"/>
        </w:sectPr>
      </w:pPr>
    </w:p>
    <w:p>
      <w:pPr>
        <w:ind w:left="660"/>
        <w:spacing w:after="0"/>
        <w:tabs>
          <w:tab w:leader="none" w:pos="2400" w:val="left"/>
        </w:tabs>
        <w:rPr>
          <w:sz w:val="20"/>
          <w:szCs w:val="20"/>
          <w:color w:val="auto"/>
        </w:rPr>
      </w:pPr>
      <w:r>
        <w:rPr>
          <w:rFonts w:ascii="Arial" w:cs="Arial" w:eastAsia="Arial" w:hAnsi="Arial"/>
          <w:sz w:val="20"/>
          <w:szCs w:val="20"/>
          <w:color w:val="auto"/>
        </w:rPr>
        <w:t>Melanie Haratunian</w:t>
      </w:r>
      <w:r>
        <w:rPr>
          <w:sz w:val="20"/>
          <w:szCs w:val="20"/>
          <w:color w:val="auto"/>
        </w:rPr>
        <w:tab/>
      </w:r>
      <w:r>
        <w:rPr>
          <w:rFonts w:ascii="Arial" w:cs="Arial" w:eastAsia="Arial" w:hAnsi="Arial"/>
          <w:sz w:val="16"/>
          <w:szCs w:val="16"/>
          <w:color w:val="auto"/>
        </w:rPr>
        <w:t>EVP,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ind w:left="660"/>
        <w:spacing w:after="0"/>
        <w:tabs>
          <w:tab w:leader="none" w:pos="3300" w:val="left"/>
        </w:tabs>
        <w:rPr>
          <w:sz w:val="20"/>
          <w:szCs w:val="20"/>
          <w:color w:val="auto"/>
        </w:rPr>
      </w:pPr>
      <w:r>
        <w:rPr>
          <w:rFonts w:ascii="Arial" w:cs="Arial" w:eastAsia="Arial" w:hAnsi="Arial"/>
          <w:sz w:val="20"/>
          <w:szCs w:val="20"/>
          <w:color w:val="auto"/>
        </w:rPr>
        <w:t>Dated: December 17, 2012</w:t>
      </w:r>
      <w:r>
        <w:rPr>
          <w:sz w:val="20"/>
          <w:szCs w:val="20"/>
          <w:color w:val="auto"/>
        </w:rPr>
        <w:tab/>
      </w:r>
      <w:r>
        <w:rPr>
          <w:rFonts w:ascii="Arial" w:cs="Arial" w:eastAsia="Arial" w:hAnsi="Arial"/>
          <w:sz w:val="19"/>
          <w:szCs w:val="19"/>
          <w:color w:val="auto"/>
        </w:rPr>
        <w:t>AKAMAI TECHNOLOGIES, INC.</w:t>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Melanie Haratunian</w:t>
      </w: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Melanie Haratunian</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SVP, General Counsel and Corporate Secretary</w:t>
      </w:r>
    </w:p>
    <w:sectPr>
      <w:pgSz w:w="11900" w:h="16838" w:orient="portrait"/>
      <w:cols w:equalWidth="0" w:num="1">
        <w:col w:w="11420"/>
      </w:cols>
      <w:pgMar w:left="240" w:top="5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2019-12-09T14:17:29Z</dcterms:created>
  <dcterms:modified xsi:type="dcterms:W3CDTF">2019-12-09T14:17:29Z</dcterms:modified>
</cp:coreProperties>
</file>