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February 19,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earliest event reported)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AKAMAI TECHNOLOGIES,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0-27275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04-3432319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 Broadway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Cambridge, Massachusetts 02142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(617) 444-3000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AKAM</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19, 2026, Akamai Technologies, Inc. (the "Company") announced its financial results for the fiscal quarter and year ended December 31, 2025. The full text of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shall be deemed to be furnished, and not filed: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82"/>
        <w:gridCol w:w="335"/>
        <w:gridCol w:w="338"/>
        <w:gridCol w:w="109"/>
        <w:gridCol w:w="109"/>
        <w:gridCol w:w="109"/>
        <w:gridCol w:w="2583"/>
        <w:gridCol w:w="2583"/>
        <w:gridCol w:w="3657"/>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42025.htm">
              <w:r>
                <w:rPr>
                  <w:rStyle w:val="InternetLink"/>
                  <w:rFonts w:ascii="Times New Roman;serif" w:hAnsi="Times New Roman;serif"/>
                  <w:b w:val="false"/>
                  <w:color w:val="0000FF"/>
                  <w:sz w:val="20"/>
                  <w:u w:val="single"/>
                </w:rPr>
                <w:t>Press release dated February 19, 2026</w:t>
              </w:r>
            </w:hyperlink>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3" w:type="dxa"/>
            <w:gridSpan w:val="3"/>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856"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1545"/>
        <w:gridCol w:w="1545"/>
        <w:gridCol w:w="219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before="0" w:after="0"/>
        <w:jc w:val="left"/>
        <w:rPr/>
      </w:pPr>
      <w:r>
        <w:rPr/>
      </w:r>
    </w:p>
    <w:tbl>
      <w:tblPr>
        <w:tblW w:w="4747" w:type="dxa"/>
        <w:jc w:val="center"/>
        <w:tblInd w:w="0" w:type="dxa"/>
        <w:tblLayout w:type="fixed"/>
        <w:tblCellMar>
          <w:top w:w="28" w:type="dxa"/>
          <w:left w:w="28" w:type="dxa"/>
          <w:bottom w:w="28" w:type="dxa"/>
          <w:right w:w="28" w:type="dxa"/>
        </w:tblCellMar>
      </w:tblPr>
      <w:tblGrid>
        <w:gridCol w:w="927"/>
        <w:gridCol w:w="774"/>
        <w:gridCol w:w="610"/>
        <w:gridCol w:w="109"/>
        <w:gridCol w:w="109"/>
        <w:gridCol w:w="109"/>
        <w:gridCol w:w="740"/>
        <w:gridCol w:w="566"/>
        <w:gridCol w:w="803"/>
      </w:tblGrid>
      <w:tr>
        <w:trPr/>
        <w:tc>
          <w:tcPr>
            <w:tcW w:w="92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47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Johanna Schmitt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Stoutenberg</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AkamaiPR@akamai.com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mstouten@akamai.com</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AKAMAI REPORTS FOURTH QUARTER 2025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FULL-YEAR 2025 FINANCIAL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Fourth quarter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of $1.095 billion, up 7% year-over-year and up 6%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Cloud Infrastructure Services** revenue of $94 million, up 45% year-over-year and up 44%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revenue of $592 million, up 11% year-over-year and up 9% when adjusted for foreign exchange*; Guardicore Segmentation and API Security revenue of $90 million, up 36% year-over-year and up 34%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net income per diluted share of $0.58, down 36% year-over-year and when adjusted for foreign exchange*, and non-GAAP net income per diluted shared* of $1.84, up 11% year-over-year and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Full-year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of $4.208 billion, up 5% year-over-year and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Cloud Infrastructure Services** revenue of $314 million, up 36% year-over-year and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revenue of $2.243 billion, up 10% year-over-year and up 9% when adjusted for foreign exchange*; Guardicore Segmentation and API Security revenue of $293 million, up 43% year-over-year and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net income per diluted share of $3.07, down 6% year-over-year and down 5% when adjusted for foreign exchange*, and non-GAAP net income per diluted share* of $7.12, up 10% year-over-year and when adjusted for foreign exchange*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CAMBRIDGE, Mass. </w:t>
      </w:r>
      <w:r>
        <w:rPr>
          <w:color w:val="000000"/>
        </w:rPr>
        <w:t xml:space="preserve">– </w:t>
      </w:r>
      <w:r>
        <w:rPr>
          <w:rFonts w:ascii="Times New Roman;serif" w:hAnsi="Times New Roman;serif"/>
          <w:b/>
          <w:color w:val="000000"/>
          <w:sz w:val="20"/>
        </w:rPr>
        <w:t>February 19, 2026</w:t>
      </w:r>
      <w:r>
        <w:rPr>
          <w:color w:val="000000"/>
        </w:rPr>
        <w:t xml:space="preserve"> – </w:t>
      </w:r>
      <w:r>
        <w:rPr>
          <w:rFonts w:ascii="Times New Roman;serif" w:hAnsi="Times New Roman;serif"/>
          <w:b w:val="false"/>
          <w:color w:val="000000"/>
          <w:sz w:val="20"/>
        </w:rPr>
        <w:t xml:space="preserve">Akamai Technologies, Inc. (NASDAQ: AKAM), the cybersecurity and cloud computing company that powers and protects business online, today reported financial results for the fourth quarter and full-year ended December 31, 2025.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Akamai delivered strong year-end performance, with better-than-expected results on the top and bottom lines. We were particularly pleased to achieve 36% year-over-year revenue growth in Q4 across our Guardicore Segmentation and API Security products, and 45% year-over-year revenue growth for Cloud Infrastructure Services (CIS),” said Dr. Tom Leighton, Akamai’s Chief Executive Officer. “These rapidly growing products are well-positioned to drive faster overall revenue growth for Akamai in the future, with Cloud Infrastructure Services growth, in particular, benefiting from strong customer interest in our new Akamai Inference Cloud and the overall growth of AI applications and agents in the marketplace.”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delivered the following results for the fourth quarter and full-year ended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Revenue for the fourth quarter was $1.095 billion, a 7% increase over fourth quarter 2024 revenue of $1.020 billion and a 6% increase when adjusted for foreign exchange.* Total revenue for 2025 was $4.208 billion compared to $3.991 billion for 2024, up 5% year-over-year and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solution: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revenue for the fourth quarter was $592 million, up 11% year-over-year and up 9% when adjusted for foreign exchange.* Security revenue for 2025 was $2.243 billion, up 10% year-over-year and up 9% when adjusted for foreign exchange.*</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Guardicore Segmentation and API Security revenue for the fourth quarter was $90 million, up 36% year-</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over-year and up 34% when adjusted for foreign exchange.* Guardicore Segmentation and API Security revenue for 2025 was $293 million, up 43% year-over-year and when adjusted for foreign exchange.*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Delivery revenue for the fourth quarter was $311 million, down 2% year-over-year and down 3% when adjusted for foreign exchange.* Delivery revenue for 2025 was $1.257 billion, down 5% year-over-year and when adjusted for foreign exchange.*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Cloud computing revenue for the fourth quarter was $191 million, up 14% year-over-year and when adjusted for foreign exchange.* Compute revenue for 2025 was $708 million, up 12% year-over-year and when adjusted for foreign exchange.*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Cloud Infrastructure Services** revenue for the fourth quarter was $94 million, up 45% year-over-year and up 44% when adjusted for foreign exchange.* Cloud Infrastructure Services revenue for 2025 was $314 million, up 36% year-over-year and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geography: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revenue for the fourth quarter was $553 million, up 4% year-over-year. U.S. revenue for 2025 was $2.139 billion, up 3% year-over-year.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International revenue for the fourth quarter was $542 million, up 11% year-over-year and up 8% when adjusted for foreign exchange.* International revenue for 2025 was $2.069 billion, up 8% year-over-year and up 7% when adjusted for foreign exchange.*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Restructuring charge:</w:t>
      </w:r>
      <w:r>
        <w:rPr>
          <w:color w:val="000000"/>
        </w:rPr>
        <w:t xml:space="preserve"> </w:t>
      </w:r>
      <w:r>
        <w:rPr>
          <w:rFonts w:ascii="Times New Roman;serif" w:hAnsi="Times New Roman;serif"/>
          <w:b w:val="false"/>
          <w:color w:val="000000"/>
          <w:sz w:val="20"/>
        </w:rPr>
        <w:t>Fourth quarter 2025 GAAP income from operations, GAAP net income, and GAAP EPS in the paragraphs below were affected by the $55 million restructuring charge recognized in the fourth quarter of 2025. This charge primarily related to severance costs in connection with a workforce reduction and impairments of certain intangible assets as the Company continues to strategically align its investments and organizational structure with long-term growth priorities.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Income from operations: </w:t>
      </w:r>
      <w:r>
        <w:rPr>
          <w:rFonts w:ascii="Times New Roman;serif" w:hAnsi="Times New Roman;serif"/>
          <w:b w:val="false"/>
          <w:color w:val="000000"/>
          <w:sz w:val="20"/>
        </w:rPr>
        <w:t>GAAP income from operations for the fourth quarter was $95 million, a 36% decrease from fourth quarter 2024 income from operations of $148 million. GAAP operating margin for the fourth quarter was 9%, down 6 percentage points from the same period last year. GAAP income from operations for 2025 was $567 million, a 6% increase from the prior year's GAAP income from operations of $533 million. Full-year GAAP operating margin was 13%, flat from the same period last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for the fourth quarter was $316 million, a 6% increase from fourth quarter 2024 non-GAAP income from operations* of $298 million. Non-GAAP operating margin* for the fourth quarter was 29%, flat from the same period last year. Non-GAAP income from operations* for 2025 was $1.254 billion, a 7% increase from the prior year's non-GAAP income from operations* of $1.167 billion. Full-year non-GAAP operating margin* was 30%, up 1 percentage point from the same period last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Net income: </w:t>
      </w:r>
      <w:r>
        <w:rPr>
          <w:rFonts w:ascii="Times New Roman;serif" w:hAnsi="Times New Roman;serif"/>
          <w:b w:val="false"/>
          <w:color w:val="000000"/>
          <w:sz w:val="20"/>
        </w:rPr>
        <w:t xml:space="preserve">GAAP net income for the fourth quarter was $85 million, a 39% decrease from fourth quarter 2024 GAAP net income of $140 million. GAAP net income for 2025 was $452 million, a 10% decrease from the prior year's GAAP net income of $505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 for the fourth quarter was $270 million, a 6% increase from fourth quarter 2024 non-GAAP net income* of $254 million. Non-GAAP net income* for 2025 was $1,046 million, a 5% increase from the prior year's non-GAAP net income* of $996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EPS: </w:t>
      </w:r>
      <w:r>
        <w:rPr>
          <w:rFonts w:ascii="Times New Roman;serif" w:hAnsi="Times New Roman;serif"/>
          <w:b w:val="false"/>
          <w:color w:val="000000"/>
          <w:sz w:val="20"/>
        </w:rPr>
        <w:t>GAAP net income per diluted share for the fourth quarter was $0.58, a 36% decrease from fourth quarter 2024 GAAP net income per diluted share of $0.91 and when adjusted for foreign exchange.* GAAP net income per diluted share for 2025 was $3.07, a 6% decrease from the prior year's GAAP net income per diluted share of $3.27 and a 5% decrease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 per diluted share* for the fourth quarter was $1.84, an 11% increase from fourth quarter 2024 non-GAAP net income per diluted share* of $1.66 and when adjusted for foreign exchange.* Non-GAAP net income per diluted share* for 2025 was $7.12, a 10% increase from the prior year's non-GAAP net income per diluted share* of $6.48 and when adjusted for foreign exchange.*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Adjusted EBITDA*: </w:t>
      </w:r>
      <w:r>
        <w:rPr>
          <w:rFonts w:ascii="Times New Roman;serif" w:hAnsi="Times New Roman;serif"/>
          <w:b w:val="false"/>
          <w:color w:val="000000"/>
          <w:sz w:val="20"/>
        </w:rPr>
        <w:t>Adjusted EBITDA* for the fourth quarter was $458 million, a 7% increase from fourth quarter 2024 Adjusted EBITDA* of $429 million. Adjusted EBITDA* for 2025 was $1.802 billion, a 7% increase from the prior year's Adjusted EBITDA* of $1.682 billion.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Supplemental cash information: </w:t>
      </w:r>
      <w:r>
        <w:rPr>
          <w:rFonts w:ascii="Times New Roman;serif" w:hAnsi="Times New Roman;serif"/>
          <w:b w:val="false"/>
          <w:color w:val="000000"/>
          <w:sz w:val="20"/>
        </w:rPr>
        <w:t>Cash from operations for the fourth quarter was $367 million, or 33% of revenue. Cash from operations for 2025 was $1.519 billion, or 36% of revenue. Cash, cash equivalents and marketable securities was $1.920 billion as of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Share repurchases: </w:t>
      </w:r>
      <w:r>
        <w:rPr>
          <w:rFonts w:ascii="Times New Roman;serif" w:hAnsi="Times New Roman;serif"/>
          <w:b w:val="false"/>
          <w:color w:val="000000"/>
          <w:sz w:val="20"/>
        </w:rPr>
        <w:t>The Company did not repurchase shares of its common stock in the fourth quarter of 2025. For the full-year 2025, the Company spent $800 million to repurchase 10.0 million shares of its common stock at an average price of $79.77 per share. The Company had 145 million shares of common stock outstanding as of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Financial guidance: </w:t>
      </w:r>
      <w:r>
        <w:rPr>
          <w:rFonts w:ascii="Times New Roman;serif" w:hAnsi="Times New Roman;serif"/>
          <w:b w:val="false"/>
          <w:color w:val="000000"/>
          <w:sz w:val="20"/>
        </w:rPr>
        <w:t>The Company reports the following financial guidance for the first quarter and full year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5"/>
        <w:gridCol w:w="1212"/>
        <w:gridCol w:w="1216"/>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109"/>
        <w:gridCol w:w="109"/>
        <w:gridCol w:w="109"/>
        <w:gridCol w:w="109"/>
        <w:gridCol w:w="156"/>
      </w:tblGrid>
      <w:tr>
        <w:trPr/>
        <w:tc>
          <w:tcPr>
            <w:tcW w:w="148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19" w:type="dxa"/>
            <w:gridSpan w:val="8"/>
            <w:tcBorders/>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Ending</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Ending</w:t>
              <w:br/>
              <w:t>December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margin</w:t>
            </w:r>
            <w:r>
              <w:rPr>
                <w:color w:val="000000"/>
              </w:rPr>
              <w:t xml:space="preserve"> </w:t>
            </w: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net income per diluted share</w:t>
            </w:r>
            <w:r>
              <w:rPr>
                <w:color w:val="000000"/>
              </w:rPr>
              <w:t xml:space="preserve"> </w:t>
            </w: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20"/>
              </w:rPr>
              <w:t>* (in millions)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Capex as a percentage of revenue</w:t>
            </w:r>
            <w:r>
              <w:rPr>
                <w:color w:val="000000"/>
              </w:rPr>
              <w:t xml:space="preserve"> </w:t>
            </w: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guidance that is provided on a non-GAAP basis cannot be reconciled to the closest GAAP measures without unreasonable effort because of the unpredictability of the amounts and timing of events affecting the items Akamai excludes from non-GAAP measures. For example, stock-based compensation is unpredictable for Akamai’s performance-based awards, which can fluctuate significantly based on current expectations of the future achievement of performance-based targets. Amortization of intangible assets, acquisition-related costs and restructuring costs are all impacted by the timing and size of potential future actions, which are difficult to predict. In addition, from time to time, Akamai excludes certain items that occur infrequently, which are also inherently difficult to predict and estimate. It is also difficult to predict the tax effect of the items Akamai excludes and to estimate certain discrete tax items, such as the resolution of tax audits or changes to tax laws. As such, the costs that are being excluded from non-GAAP guidance are difficult to predict and a reconciliation or a range of results could lead to disclosure that would be imprecise or potentially misleading. Material changes to any one of the exclusions could have a significant effect on our guidance and future GAAP results.</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definitions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Cloud Infrastructure Services consist of the compute and storage solutions based on Linode, along with our EdgeWorkers product and the partner solutions running on our cloud platform</w:t>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Akamai will host a conference call today at 4:30 p.m. ET that can be accessed through 1-833-634-5020 (or 1-412-902-4238 for international calls) and using passcode Akamai Technologies Call. A live webcast of the call may be accessed at www.akamai.com in the Investor Relations section. In addition, a replay of the call will be available for two weeks following the conference by calling 1-855-669-9658 (or 1-412-317-0088 for international calls) and using passcode 5393108. The archived webcast of this event may be accessed through the Akamai website.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Akamai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is the cybersecurity and cloud computing company that powers and protects business online. Our market-leading security solutions, superior threat intelligence and global operations team provide defense in depth to safeguard enterprise data and applications everywhere. Akamai’s full-stack cloud computing solutions deliver performance and affordability on the world’s most distributed platform. Global enterprises trust Akamai to provide the industry-leading reliability, scale and expertise they need to grow their business with confidence. Learn more at akamai.com and akamai.com/blog, or follow Akamai Technologies on X and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left"/>
        <w:rPr/>
      </w:pPr>
      <w:r>
        <w:rPr/>
      </w:r>
    </w:p>
    <w:tbl>
      <w:tblPr>
        <w:tblW w:w="7494" w:type="dxa"/>
        <w:jc w:val="center"/>
        <w:tblInd w:w="0" w:type="dxa"/>
        <w:tblLayout w:type="fixed"/>
        <w:tblCellMar>
          <w:top w:w="28" w:type="dxa"/>
          <w:left w:w="28" w:type="dxa"/>
          <w:bottom w:w="28" w:type="dxa"/>
          <w:right w:w="28" w:type="dxa"/>
        </w:tblCellMar>
      </w:tblPr>
      <w:tblGrid>
        <w:gridCol w:w="1564"/>
        <w:gridCol w:w="1375"/>
        <w:gridCol w:w="1381"/>
        <w:gridCol w:w="211"/>
        <w:gridCol w:w="1081"/>
        <w:gridCol w:w="109"/>
        <w:gridCol w:w="109"/>
        <w:gridCol w:w="109"/>
        <w:gridCol w:w="109"/>
        <w:gridCol w:w="211"/>
        <w:gridCol w:w="1081"/>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10,368,785 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0"/>
        <w:gridCol w:w="677"/>
        <w:gridCol w:w="68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01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color w:val="000000"/>
              </w:rPr>
              <w:t xml:space="preserve"> </w:t>
            </w:r>
            <w:r>
              <w:rPr>
                <w:rFonts w:ascii="Times New Roman;serif" w:hAnsi="Times New Roman;serif"/>
                <w:b w:val="false"/>
                <w:color w:val="000000"/>
                <w:sz w:val="13"/>
              </w:rPr>
              <w:t>(1)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color w:val="000000"/>
              </w:rPr>
              <w:t xml:space="preserv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color w:val="000000"/>
              </w:rPr>
              <w:t xml:space="preserve"> </w:t>
            </w:r>
            <w:r>
              <w:rPr>
                <w:rFonts w:ascii="Times New Roman;serif" w:hAnsi="Times New Roman;serif"/>
                <w:b w:val="false"/>
                <w:color w:val="000000"/>
                <w:sz w:val="13"/>
              </w:rPr>
              <w:t>(1)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Includes stock-based compensation (see supplemental table for figures)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Includes depreciation and amortization (see supplemental table for figures)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23"/>
        <w:gridCol w:w="884"/>
        <w:gridCol w:w="887"/>
        <w:gridCol w:w="220"/>
        <w:gridCol w:w="753"/>
        <w:gridCol w:w="113"/>
        <w:gridCol w:w="109"/>
        <w:gridCol w:w="109"/>
        <w:gridCol w:w="109"/>
        <w:gridCol w:w="216"/>
        <w:gridCol w:w="847"/>
        <w:gridCol w:w="111"/>
        <w:gridCol w:w="109"/>
        <w:gridCol w:w="109"/>
        <w:gridCol w:w="109"/>
        <w:gridCol w:w="214"/>
        <w:gridCol w:w="839"/>
        <w:gridCol w:w="110"/>
        <w:gridCol w:w="109"/>
        <w:gridCol w:w="109"/>
        <w:gridCol w:w="109"/>
        <w:gridCol w:w="214"/>
        <w:gridCol w:w="839"/>
        <w:gridCol w:w="110"/>
        <w:gridCol w:w="109"/>
        <w:gridCol w:w="109"/>
        <w:gridCol w:w="109"/>
        <w:gridCol w:w="214"/>
        <w:gridCol w:w="838"/>
        <w:gridCol w:w="165"/>
      </w:tblGrid>
      <w:tr>
        <w:trPr/>
        <w:tc>
          <w:tcPr>
            <w:tcW w:w="13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3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deferred income taxes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investments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reconciling items,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1,519,171 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business acquisitions, net of cash acquired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(162,859)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 and long-term marketable securities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(236,176)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maturities and redemptions of short- and long-term marketable securities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(366,392)</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(368,331)</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(244,186)</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(540,743)</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(798,679)</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27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24"/>
        <w:gridCol w:w="886"/>
        <w:gridCol w:w="889"/>
        <w:gridCol w:w="214"/>
        <w:gridCol w:w="841"/>
        <w:gridCol w:w="110"/>
        <w:gridCol w:w="109"/>
        <w:gridCol w:w="109"/>
        <w:gridCol w:w="109"/>
        <w:gridCol w:w="217"/>
        <w:gridCol w:w="851"/>
        <w:gridCol w:w="112"/>
        <w:gridCol w:w="109"/>
        <w:gridCol w:w="109"/>
        <w:gridCol w:w="109"/>
        <w:gridCol w:w="214"/>
        <w:gridCol w:w="841"/>
        <w:gridCol w:w="110"/>
        <w:gridCol w:w="109"/>
        <w:gridCol w:w="109"/>
        <w:gridCol w:w="109"/>
        <w:gridCol w:w="214"/>
        <w:gridCol w:w="841"/>
        <w:gridCol w:w="110"/>
        <w:gridCol w:w="109"/>
        <w:gridCol w:w="109"/>
        <w:gridCol w:w="109"/>
        <w:gridCol w:w="214"/>
        <w:gridCol w:w="840"/>
        <w:gridCol w:w="169"/>
      </w:tblGrid>
      <w:tr>
        <w:trPr/>
        <w:tc>
          <w:tcPr>
            <w:tcW w:w="122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revolving credit facility</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under revolving credit facility</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proceeds from the issuance of convertible senior notes, net of issuance costs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1,701,202 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warrants related to convertible senior notes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note hedges related to convertible senior notes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senior notes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the issuance of common stock under stock plans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stock-based awards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(557,468)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(140,840)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(588,036)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(679,635)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931,322 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283"/>
        <w:ind w:left="0" w:right="0" w:hanging="27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pPr>
      <w:r>
        <w:rPr>
          <w:rFonts w:ascii="Times New Roman;serif" w:hAnsi="Times New Roman;serif"/>
          <w:b/>
          <w:color w:val="000000"/>
          <w:sz w:val="20"/>
        </w:rPr>
        <w:t xml:space="preserve">SUPPLEMENTAL REVENUE DATA </w:t>
      </w:r>
      <w:r>
        <w:rPr>
          <w:color w:val="000000"/>
        </w:rPr>
        <w:t xml:space="preserve">– </w:t>
      </w:r>
      <w:r>
        <w:rPr>
          <w:rFonts w:ascii="Times New Roman;serif" w:hAnsi="Times New Roman;serif"/>
          <w:b/>
          <w:color w:val="000000"/>
          <w:sz w:val="20"/>
        </w:rPr>
        <w:t>REVENUE BY SOLUTION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6"/>
        <w:gridCol w:w="530"/>
        <w:gridCol w:w="384"/>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6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2,243,404 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2,042,661 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1,318,131 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630,376 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 growth rates year-over-year, adjusted for the impact of foreign exchange rates</w:t>
            </w:r>
            <w:r>
              <w:rPr>
                <w:color w:val="000000"/>
              </w:rPr>
              <w:t xml:space="preserve"> </w:t>
            </w:r>
            <w:r>
              <w:rPr>
                <w:rFonts w:ascii="Times New Roman;serif" w:hAnsi="Times New Roman;serif"/>
                <w:b/>
                <w:color w:val="000000"/>
                <w:sz w:val="13"/>
              </w:rPr>
              <w:t>(1)</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pPr>
      <w:r>
        <w:rPr>
          <w:rFonts w:ascii="Times New Roman;serif" w:hAnsi="Times New Roman;serif"/>
          <w:b/>
          <w:color w:val="000000"/>
          <w:sz w:val="20"/>
        </w:rPr>
        <w:t xml:space="preserve">SUPPLEMENTAL REVENUE DATA </w:t>
      </w:r>
      <w:r>
        <w:rPr>
          <w:color w:val="000000"/>
        </w:rPr>
        <w:t xml:space="preserve">– </w:t>
      </w:r>
      <w:r>
        <w:rPr>
          <w:rFonts w:ascii="Times New Roman;serif" w:hAnsi="Times New Roman;serif"/>
          <w:b/>
          <w:color w:val="000000"/>
          <w:sz w:val="20"/>
        </w:rPr>
        <w:t>REVENUE BY GEOGRAPHY</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1"/>
        <w:gridCol w:w="481"/>
        <w:gridCol w:w="488"/>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59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2,075,533 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1,915,635 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 growth rates year-over-year, adjusted for the impact of foreign exchange rates</w:t>
            </w:r>
            <w:r>
              <w:rPr>
                <w:color w:val="000000"/>
              </w:rPr>
              <w:t xml:space="preserve"> </w:t>
            </w:r>
            <w:r>
              <w:rPr>
                <w:rFonts w:ascii="Times New Roman;serif" w:hAnsi="Times New Roman;serif"/>
                <w:b/>
                <w:color w:val="000000"/>
                <w:sz w:val="13"/>
              </w:rPr>
              <w:t>(1)</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(1)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a definition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SUPPLEMENTAL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41"/>
        <w:gridCol w:w="657"/>
        <w:gridCol w:w="662"/>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88"/>
      </w:tblGrid>
      <w:tr>
        <w:trPr/>
        <w:tc>
          <w:tcPr>
            <w:tcW w:w="114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end of period statistics)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152,114 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Network-related 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168,355 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depreciation and amortization</w:t>
            </w:r>
            <w:r>
              <w:rPr>
                <w:color w:val="000000"/>
              </w:rPr>
              <w:t xml:space="preserve"> </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514,455 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Capitalized stock-based compensation amortization</w:t>
            </w:r>
            <w:r>
              <w:rPr>
                <w:color w:val="000000"/>
              </w:rPr>
              <w:t xml:space="preserv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interest expense </w:t>
            </w:r>
          </w:p>
          <w:p>
            <w:pPr>
              <w:pStyle w:val="TableContents"/>
              <w:bidi w:val="0"/>
              <w:spacing w:lineRule="auto" w:line="240" w:before="0" w:after="0"/>
              <w:jc w:val="left"/>
              <w:rPr/>
            </w:pPr>
            <w:r>
              <w:rPr>
                <w:rFonts w:ascii="Times New Roman;serif" w:hAnsi="Times New Roman;serif"/>
                <w:b w:val="false"/>
                <w:color w:val="000000"/>
                <w:sz w:val="20"/>
              </w:rPr>
              <w:t>amortization</w:t>
            </w:r>
            <w:r>
              <w:rPr>
                <w:color w:val="000000"/>
              </w:rPr>
              <w:t xml:space="preserv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648,410 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Capital expenditures</w:t>
            </w:r>
            <w:r>
              <w:rPr>
                <w:color w:val="000000"/>
              </w:rPr>
              <w:t xml:space="preserve"> </w:t>
            </w:r>
            <w:r>
              <w:rPr>
                <w:rFonts w:ascii="Times New Roman;serif" w:hAnsi="Times New Roman;serif"/>
                <w:b/>
                <w:color w:val="000000"/>
                <w:sz w:val="13"/>
              </w:rPr>
              <w:t>(1) (3)</w:t>
            </w:r>
            <w:r>
              <w:rPr>
                <w:rFonts w:ascii="Times New Roman;serif" w:hAnsi="Times New Roman;serif"/>
                <w:b/>
                <w:color w:val="000000"/>
                <w:sz w:val="20"/>
              </w:rPr>
              <w:t>:</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383,392 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292,509 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675,901 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Capex as a percentage of revenue</w:t>
            </w:r>
            <w:r>
              <w:rPr>
                <w:color w:val="000000"/>
              </w:rPr>
              <w:t xml:space="preserve"> </w:t>
            </w:r>
            <w:r>
              <w:rPr>
                <w:rFonts w:ascii="Times New Roman;serif" w:hAnsi="Times New Roman;serif"/>
                <w:b w:val="false"/>
                <w:i/>
                <w:color w:val="000000"/>
                <w:sz w:val="10"/>
              </w:rPr>
              <w:t>(1)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of period statistics: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Number of employees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(1)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a definition.</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Amortization of capitalized stock-based compensation and interest expense in this table excludes amortization of capitalized stock-based compensation and interest expense capitalized related to cloud-computing arrangements and contract fulfillment costs. However, the amounts are included in our total amortization of capitalized stock-based compensation and interest expense that is excluded from our non-GAAP measures (see reconciliations of GAAP to non-GAAP measures).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Capital expenditures presented in this table are reported on an accrual basis, which differs from the cash-basis presentation in the statements of cash flows. The primary difference between the two is the change in purchases of property and equipment and capitalization of internal-use software development costs accrued for, but not paid, at period end versus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INCOME FROM OPERATIONS, NET INCOME AND TAX RATE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11"/>
        <w:gridCol w:w="419"/>
        <w:gridCol w:w="380"/>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8"/>
      </w:tblGrid>
      <w:tr>
        <w:trPr/>
        <w:tc>
          <w:tcPr>
            <w:tcW w:w="1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533,411 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GAAP operating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633,812 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1,167,223 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operating margin</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 (from above)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995,582 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tax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non-GAAP adjustments and certain discrete tax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27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NET INCOME PER DILUTED SHARE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1"/>
        <w:gridCol w:w="980"/>
        <w:gridCol w:w="988"/>
        <w:gridCol w:w="278"/>
        <w:gridCol w:w="627"/>
        <w:gridCol w:w="134"/>
        <w:gridCol w:w="109"/>
        <w:gridCol w:w="109"/>
        <w:gridCol w:w="109"/>
        <w:gridCol w:w="270"/>
        <w:gridCol w:w="654"/>
        <w:gridCol w:w="140"/>
        <w:gridCol w:w="109"/>
        <w:gridCol w:w="109"/>
        <w:gridCol w:w="109"/>
        <w:gridCol w:w="278"/>
        <w:gridCol w:w="627"/>
        <w:gridCol w:w="134"/>
        <w:gridCol w:w="109"/>
        <w:gridCol w:w="109"/>
        <w:gridCol w:w="109"/>
        <w:gridCol w:w="278"/>
        <w:gridCol w:w="627"/>
        <w:gridCol w:w="134"/>
        <w:gridCol w:w="109"/>
        <w:gridCol w:w="109"/>
        <w:gridCol w:w="109"/>
        <w:gridCol w:w="278"/>
        <w:gridCol w:w="621"/>
        <w:gridCol w:w="198"/>
      </w:tblGrid>
      <w:tr>
        <w:trPr/>
        <w:tc>
          <w:tcPr>
            <w:tcW w:w="165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shares</w:t>
            </w:r>
            <w:r>
              <w:rPr>
                <w:color w:val="000000"/>
              </w:rPr>
              <w:t xml:space="preserve"> </w:t>
            </w:r>
            <w:r>
              <w:rPr>
                <w:rFonts w:ascii="Times New Roman;serif" w:hAnsi="Times New Roman;serif"/>
                <w:b w:val="false"/>
                <w:color w:val="000000"/>
                <w:sz w:val="13"/>
              </w:rPr>
              <w:t>(1)</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diluted share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GAAP per diluted share calculations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benefit from note hedge transactions</w:t>
            </w:r>
            <w:r>
              <w:rPr>
                <w:color w:val="000000"/>
              </w:rPr>
              <w:t xml:space="preserve"> </w:t>
            </w:r>
            <w:r>
              <w:rPr>
                <w:rFonts w:ascii="Times New Roman;serif" w:hAnsi="Times New Roman;serif"/>
                <w:b w:val="false"/>
                <w:color w:val="000000"/>
                <w:sz w:val="13"/>
              </w:rPr>
              <w:t>(1)</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13"/>
              </w:rPr>
              <w:t>(1)</w:t>
            </w:r>
          </w:p>
        </w:tc>
        <w:tc>
          <w:tcPr>
            <w:tcW w:w="9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152,723 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153,602 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pStyle w:val="TextBody"/>
        <w:bidi w:val="0"/>
        <w:spacing w:lineRule="auto" w:line="288"/>
        <w:ind w:left="0" w:right="0" w:hanging="270"/>
        <w:jc w:val="left"/>
        <w:rPr/>
      </w:pPr>
      <w:r>
        <w:rPr>
          <w:rFonts w:ascii="Times New Roman;serif" w:hAnsi="Times New Roman;serif"/>
          <w:b w:val="false"/>
          <w:color w:val="000000"/>
          <w:sz w:val="16"/>
        </w:rPr>
        <w:t xml:space="preserve">(1) Shares used in non-GAAP per diluted share calculations have been adjusted for the three months and year ended December 31, 2024, for the benefit of Akamai's note hedge transactions. During these periods, Akamai's average stock price was in excess of $95.10, which was the initial conversion price of Akamai's convertible senior notes that matured in May 2025.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further definition.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INCOME TO ADJUSTED EBITDA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67"/>
        <w:gridCol w:w="402"/>
        <w:gridCol w:w="403"/>
        <w:gridCol w:w="215"/>
        <w:gridCol w:w="843"/>
        <w:gridCol w:w="246"/>
        <w:gridCol w:w="109"/>
        <w:gridCol w:w="109"/>
        <w:gridCol w:w="109"/>
        <w:gridCol w:w="211"/>
        <w:gridCol w:w="826"/>
        <w:gridCol w:w="241"/>
        <w:gridCol w:w="109"/>
        <w:gridCol w:w="109"/>
        <w:gridCol w:w="109"/>
        <w:gridCol w:w="215"/>
        <w:gridCol w:w="843"/>
        <w:gridCol w:w="246"/>
        <w:gridCol w:w="109"/>
        <w:gridCol w:w="109"/>
        <w:gridCol w:w="109"/>
        <w:gridCol w:w="213"/>
        <w:gridCol w:w="987"/>
        <w:gridCol w:w="243"/>
        <w:gridCol w:w="109"/>
        <w:gridCol w:w="109"/>
        <w:gridCol w:w="109"/>
        <w:gridCol w:w="213"/>
        <w:gridCol w:w="987"/>
        <w:gridCol w:w="296"/>
      </w:tblGrid>
      <w:tr>
        <w:trPr/>
        <w:tc>
          <w:tcPr>
            <w:tcW w:w="126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Net income margin</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548,012 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514,455 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457,502 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1,801,612 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1,681,678 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10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42 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42 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42 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providing financial measurements based on generally accepted accounting principles in the United States of America (GAAP), Akamai provides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Akamai's financial performance. These non-GAAP financial measures are non-GAAP income from operations, non-GAAP operating margin, non-GAAP net income, non-GAAP net income per diluted share, Adjusted EBITDA, Adjusted EBITDA margin, non-GAAP tax rate, capital expenditures, non-GAAP depreciation and amortization, capex as a percentage of revenue and impact of foreign currency exchange rates, as discussed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these non-GAAP financial measures reflect Akamai's ongoing business in a manner that allows for meaningful comparisons and analysis of trends in the business, as they facilitate comparison of financial results across accounting periods and may be comparable to those of our peer companies. Management also believes that these non-GAAP financial measures enable investors to evaluate Akamai's operating results and future prospects in the same manner as management. These non-GAAP financial measures may exclude expenses and gains that may be unusual in nature, infrequent or not reflective of Akamai's ongoing operating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non-GAAP financial measures do not replace the presentation of Akamai's GAAP financial measures and should only be used as a supplement to, not as a substitute for, Akamai's financial results presented in accordance with GAAP. Akamai has provided a reconciliation of non-GAAP financial measures used in its financial reporting and investor presentations to the most directly comparable GAAP financial measures. This reconciliation can be found in the “Supplemental Financial Information” on the Investor Relations section of Akamai's website.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Akamai's basis for excluding them from non-GAAP financial measures, are outlined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acquired intangible assets </w:t>
      </w:r>
      <w:r>
        <w:rPr>
          <w:color w:val="000000"/>
        </w:rPr>
        <w:t xml:space="preserve">– </w:t>
      </w:r>
      <w:r>
        <w:rPr>
          <w:rFonts w:ascii="Times New Roman;serif" w:hAnsi="Times New Roman;serif"/>
          <w:b w:val="false"/>
          <w:color w:val="000000"/>
          <w:sz w:val="20"/>
        </w:rPr>
        <w:t>Akamai has incurred amortization of intangible assets, included in its GAAP financial statements, related to various acquisitions Akamai has made. The amount of an acquisition's purchase price allocated to intangible assets and term of its related amortization can vary significantly and is unique to each acquisition; therefore, Akamai excludes amortization of acquired intangible assets from its non-GAAP financial measures to provide investors with a consistent basis for comparing pre- and post-acquisition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Stock-based compensation and amortization of capitalized stock-based compensation</w:t>
      </w:r>
      <w:r>
        <w:rPr>
          <w:color w:val="000000"/>
        </w:rPr>
        <w:t xml:space="preserve"> – </w:t>
      </w:r>
      <w:r>
        <w:rPr>
          <w:rFonts w:ascii="Times New Roman;serif" w:hAnsi="Times New Roman;serif"/>
          <w:b w:val="false"/>
          <w:color w:val="000000"/>
          <w:sz w:val="20"/>
        </w:rPr>
        <w:t>Stock-based compensation is an important aspect of the compensation paid to Akamai's employees which includes long-term incentive plans to encourage retention, performance-based plans to encourage achievement of specified financial targets, short-term incentive awards with a one year vest and shares issued as part of a retirement savings program. The grant date fair value of the stock-based compensation awards varies based on the stock price at the time of grant, varying valuation methodologies, subjective assumptions and the variety of award types. This makes the comparison of Akamai's current financial results to previous and future periods difficult to interpret; therefore, Akamai believes it is useful to exclude stock-based compensation and amortization of capitalized stock-based compensation from its non-GAAP financial measures in order to highlight the performance of Akamai's core business and to be consistent with the way many investors evaluate its performance and compare its operating results to peer companies.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Acquisition-related costs </w:t>
      </w:r>
      <w:r>
        <w:rPr>
          <w:color w:val="000000"/>
        </w:rPr>
        <w:t xml:space="preserve">– </w:t>
      </w:r>
      <w:r>
        <w:rPr>
          <w:rFonts w:ascii="Times New Roman;serif" w:hAnsi="Times New Roman;serif"/>
          <w:b w:val="false"/>
          <w:color w:val="000000"/>
          <w:sz w:val="20"/>
        </w:rPr>
        <w:t>Acquisition-related costs include transaction fees, advisory fees, due diligence costs and other direct costs associated with strategic activities. Acquisition-related costs are impacted by the timing and size of the acquisitions, and Akamai excludes acquisition-related costs from its non-GAAP financial measures to provide a useful comparison of operating results to prior periods and to peer companies because such amounts vary significantly based on the magnitude of the acquisition transactions and do not reflect Akamai's core operations.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color w:val="000000"/>
          <w:sz w:val="20"/>
        </w:rPr>
        <w:t>Restructuring charge</w:t>
      </w:r>
      <w:r>
        <w:rPr>
          <w:color w:val="000000"/>
        </w:rPr>
        <w:t xml:space="preserve"> – </w:t>
      </w:r>
      <w:r>
        <w:rPr>
          <w:rFonts w:ascii="Times New Roman;serif" w:hAnsi="Times New Roman;serif"/>
          <w:b w:val="false"/>
          <w:color w:val="000000"/>
          <w:sz w:val="20"/>
        </w:rPr>
        <w:t>Akamai has incurred restructuring charges from programs that have significantly changed either the scope of the business undertaken by the Company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Akamai excludes these items from its non-GAAP financial measures when evaluating its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debt issuance costs and capitalized interest expense </w:t>
      </w:r>
      <w:r>
        <w:rPr>
          <w:color w:val="000000"/>
        </w:rPr>
        <w:t xml:space="preserve">– </w:t>
      </w:r>
      <w:r>
        <w:rPr>
          <w:rFonts w:ascii="Times New Roman;serif" w:hAnsi="Times New Roman;serif"/>
          <w:b w:val="false"/>
          <w:color w:val="000000"/>
          <w:sz w:val="20"/>
        </w:rPr>
        <w:t>The issuance costs of Akamai's convertible senior notes are amortized to interest expense and are excluded from Akamai's non-GAAP results because management believes the non-cash amortization expense is not representative of ongoing operating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Gains and losses on cost method investments</w:t>
      </w:r>
      <w:r>
        <w:rPr>
          <w:color w:val="000000"/>
        </w:rPr>
        <w:t xml:space="preserve"> – </w:t>
      </w:r>
      <w:r>
        <w:rPr>
          <w:rFonts w:ascii="Times New Roman;serif" w:hAnsi="Times New Roman;serif"/>
          <w:b w:val="false"/>
          <w:color w:val="000000"/>
          <w:sz w:val="20"/>
        </w:rPr>
        <w:t>Akamai has recorded gains and losses from the disposition, changes to fair value and impairment of cost method investments. Akamai believes excluding these amounts from its non-GAAP financial measures is useful to investors as the types of events giving rise to these gains and losses are not representative of Akamai's core business operations and ongoing operating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Legal settlements</w:t>
      </w:r>
      <w:r>
        <w:rPr>
          <w:color w:val="000000"/>
        </w:rPr>
        <w:t xml:space="preserve"> – </w:t>
      </w:r>
      <w:r>
        <w:rPr>
          <w:rFonts w:ascii="Times New Roman;serif" w:hAnsi="Times New Roman;serif"/>
          <w:b w:val="false"/>
          <w:color w:val="000000"/>
          <w:sz w:val="20"/>
        </w:rPr>
        <w:t>Akamai has incurred losses related to the settlement of legal matters. Akamai believes excluding these amounts from its non-GAAP financial measures is useful to investors as the types of events giving rise to them are not representative of Akamai's core business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Income tax effect of non-GAAP adjustments and certain discrete tax items</w:t>
      </w:r>
      <w:r>
        <w:rPr>
          <w:color w:val="000000"/>
        </w:rPr>
        <w:t xml:space="preserve"> – </w:t>
      </w:r>
      <w:r>
        <w:rPr>
          <w:rFonts w:ascii="Times New Roman;serif" w:hAnsi="Times New Roman;serif"/>
          <w:b w:val="false"/>
          <w:color w:val="000000"/>
          <w:sz w:val="20"/>
        </w:rPr>
        <w:t xml:space="preserve">The non-GAAP adjustments described above are reported on a pre-tax basis. The income tax effect of non-GAAP adjustments is the difference between GAAP and non-GAAP income tax expense. Non-GAAP income tax expense is computed on non-GAAP pre-tax income (GAAP pre-tax income adjusted for non-GAAP adjustments) and excludes certain discrete tax items (such as the impact of intercompany sales of intellectual property related to acquisitions), if any. Akamai believes that applying the non-GAAP adjustments and their related income tax effect allows Akamai to highlight income attributable to its core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Akamai's definitions of its non-GAAP financial measures are outlined below: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income from operations </w:t>
      </w:r>
      <w:r>
        <w:rPr>
          <w:color w:val="000000"/>
        </w:rPr>
        <w:t xml:space="preserve">– </w:t>
      </w:r>
      <w:r>
        <w:rPr>
          <w:rFonts w:ascii="Times New Roman;serif" w:hAnsi="Times New Roman;serif"/>
          <w:b w:val="false"/>
          <w:color w:val="000000"/>
          <w:sz w:val="20"/>
        </w:rPr>
        <w:t>GAAP income from operations adjusted for the following items: amortization of acquired intangible assets; stock-based compensation; amortization of capitalized stock-based compensation; amortization of capitalized interest expense; acquisition-related costs; restructuring charges; legal settlements; and other non-recurring or unusual items that may arise from time to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Non-GAAP operating margin</w:t>
      </w:r>
      <w:r>
        <w:rPr>
          <w:color w:val="000000"/>
        </w:rPr>
        <w:t xml:space="preserve"> – </w:t>
      </w:r>
      <w:r>
        <w:rPr>
          <w:rFonts w:ascii="Times New Roman;serif" w:hAnsi="Times New Roman;serif"/>
          <w:b w:val="false"/>
          <w:color w:val="000000"/>
          <w:sz w:val="20"/>
        </w:rPr>
        <w:t xml:space="preserve">Non-GAAP income from operations stated as a percentage of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net income </w:t>
      </w:r>
      <w:r>
        <w:rPr>
          <w:color w:val="000000"/>
        </w:rPr>
        <w:t xml:space="preserve">– </w:t>
      </w:r>
      <w:r>
        <w:rPr>
          <w:rFonts w:ascii="Times New Roman;serif" w:hAnsi="Times New Roman;serif"/>
          <w:b w:val="false"/>
          <w:color w:val="000000"/>
          <w:sz w:val="20"/>
        </w:rPr>
        <w:t>GAAP net income adjusted for the following tax-affected items: amortization of acquired intangible assets; stock-based compensation; amortization of capitalized stock-based compensation; acquisition-related costs; restructuring charges; legal settlements; amortization of debt issuance costs; amortization of capitalized interest expense; gains and losses on cost method investments; and other non-recurring or unusual items that may arise from time to time.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net income per diluted share, or EPS </w:t>
      </w:r>
      <w:r>
        <w:rPr>
          <w:color w:val="000000"/>
        </w:rPr>
        <w:t xml:space="preserve">– </w:t>
      </w:r>
      <w:r>
        <w:rPr>
          <w:rFonts w:ascii="Times New Roman;serif" w:hAnsi="Times New Roman;serif"/>
          <w:b w:val="false"/>
          <w:color w:val="000000"/>
          <w:sz w:val="20"/>
        </w:rPr>
        <w:t xml:space="preserve">Non-GAAP net income divided by weighted average diluted common shares outstanding. Diluted weighted average common shares outstanding are adjusted in non-GAAP per share calculations for the shares that would be delivered to Akamai pursuant to the note hedge transactions entered into in connection with the issuances of Akamai's convertible senior notes. Under GAAP, shares delivered under hedge transactions are not considered offsetting shares in the fully-diluted share calculation until they are delivered. However, Akamai would receive a benefit from the note hedge transactions and would not allow the dilution to occur, so management believes that adjusting for this benefit provides a meaningful view of operating performance. With respect to the convertible senior notes due in each of 2033, 2029 and 2027 and those that matured in 2025, unless Akamai's weighted average stock price is greater than $93.01, $126.31, $116.18 and $95.10, respectively, the initial conversion prices, there will be no difference between GAAP and non-GAAP diluted weighted average common shares outstanding.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w:t>
      </w:r>
      <w:r>
        <w:rPr>
          <w:color w:val="000000"/>
        </w:rPr>
        <w:t xml:space="preserve">– </w:t>
      </w:r>
      <w:r>
        <w:rPr>
          <w:rFonts w:ascii="Times New Roman;serif" w:hAnsi="Times New Roman;serif"/>
          <w:b w:val="false"/>
          <w:color w:val="000000"/>
          <w:sz w:val="20"/>
        </w:rPr>
        <w:t>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and other non-recurring or unusual items that may arise from time to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margin </w:t>
      </w:r>
      <w:r>
        <w:rPr>
          <w:color w:val="000000"/>
        </w:rPr>
        <w:t xml:space="preserve">– </w:t>
      </w:r>
      <w:r>
        <w:rPr>
          <w:rFonts w:ascii="Times New Roman;serif" w:hAnsi="Times New Roman;serif"/>
          <w:b w:val="false"/>
          <w:color w:val="000000"/>
          <w:sz w:val="20"/>
        </w:rPr>
        <w:t xml:space="preserve">Adjusted EBITDA stated as a percentage of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Non-GAAP tax rate</w:t>
      </w:r>
      <w:r>
        <w:rPr>
          <w:color w:val="000000"/>
        </w:rPr>
        <w:t xml:space="preserve"> – </w:t>
      </w:r>
      <w:r>
        <w:rPr>
          <w:rFonts w:ascii="Times New Roman;serif" w:hAnsi="Times New Roman;serif"/>
          <w:b w:val="false"/>
          <w:color w:val="000000"/>
          <w:sz w:val="20"/>
        </w:rPr>
        <w:t xml:space="preserve">GAAP tax rate excluding the tax effect of non-GAAP adjustments and certain discrete tax items.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0"/>
        </w:rPr>
        <w:t>Capital expenditures, or capex</w:t>
      </w:r>
      <w:r>
        <w:rPr>
          <w:color w:val="000000"/>
        </w:rPr>
        <w:t xml:space="preserve"> – </w:t>
      </w:r>
      <w:r>
        <w:rPr>
          <w:rFonts w:ascii="Times New Roman;serif" w:hAnsi="Times New Roman;serif"/>
          <w:b w:val="false"/>
          <w:color w:val="000000"/>
          <w:sz w:val="20"/>
        </w:rPr>
        <w:t xml:space="preserve">Purchases of property and equipment and capitalization of internal-use software development costs presented on an accrual basis, which differs from the cash-basis presentation included in the statements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The primary difference between the two is the change in purchases of property and equipment and capitalization of internal-use software development costs accrued for, but not paid, at period end versus prior periods.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Capex as a percentage of revenue</w:t>
      </w:r>
      <w:r>
        <w:rPr>
          <w:color w:val="000000"/>
        </w:rPr>
        <w:t xml:space="preserve"> – </w:t>
      </w:r>
      <w:r>
        <w:rPr>
          <w:rFonts w:ascii="Times New Roman;serif" w:hAnsi="Times New Roman;serif"/>
          <w:b w:val="false"/>
          <w:color w:val="000000"/>
          <w:sz w:val="20"/>
        </w:rPr>
        <w:t>Capital expenditures, or capex, stated as a percentage of revenue.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depreciation and amortization </w:t>
      </w:r>
      <w:r>
        <w:rPr>
          <w:color w:val="000000"/>
        </w:rPr>
        <w:t xml:space="preserve">– </w:t>
      </w:r>
      <w:r>
        <w:rPr>
          <w:rFonts w:ascii="Times New Roman;serif" w:hAnsi="Times New Roman;serif"/>
          <w:b w:val="false"/>
          <w:color w:val="000000"/>
          <w:sz w:val="20"/>
        </w:rPr>
        <w:t>GAAP depreciation and amortization (which consists of depreciation and amortization of property and equipment, capitalized stock-based compensation, capitalized interest expense and acquired intangible assets), less depreciation and amortization excluded from non-GAAP results (which consists of depreciation and amortization of capitalized stock-based compensation, capitalized interest expense and acquired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Impact of foreign currency exchange rate</w:t>
      </w:r>
      <w:r>
        <w:rPr>
          <w:color w:val="000000"/>
        </w:rPr>
        <w:t xml:space="preserve"> – </w:t>
      </w:r>
      <w:r>
        <w:rPr>
          <w:rFonts w:ascii="Times New Roman;serif" w:hAnsi="Times New Roman;serif"/>
          <w:b w:val="false"/>
          <w:color w:val="000000"/>
          <w:sz w:val="20"/>
        </w:rPr>
        <w:t>Revenue and earnings from international operations have historically been important contributors to Akamai's financial results. Consequently, Akamai's financial results have been impacted, and management expects they will continue to be impacted, by fluctuations in foreign currency exchange rates. For example, when the local currencies of our international subsidiaries weaken, our consolidated results stated in U.S. dollars are negatively impacted.</w:t>
        <w:br/>
        <w:br/>
        <w:t>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growth rate impacted by foreign currency exchange rates, sometimes referred to as constant currency, is calculated by comparing the prior period amounts as reported and the current period amounts translated using the same monthly average foreign currency exchange rates from the comparative period.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Statement Under the Private Securities Litigation Reform 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and related management commentary on our quarterly earnings conference call scheduled for later today contain statements that are not statements of historical fact and constitute forward-looking statements for purposes of the safe harbor provisions under The Private Securities Litigation Reform Act of 1995, including, but not limited to, statements about expected future financial performance, expectations, plans and prospects of Akamai, including our outlook, guidance, growth objectives and statements about our products, including Akamai Inference Cloud, and their anticipated capabilities, scalability and performance.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Actual results may differ materially from those indicated by these forward-looking statements as a result of various important factors including, but not limited to, inability to continue to generate cash at the same level as prior years; failure of our investments in innovation to generate solutions that are accepted in the market; inability to increase our revenue at the same rate as in the past and keep our expenses from increasing at a greater rate than our revenues; effects of competition, including pricing pressure and changing business models; changes in customer or user preferences or demands; impact of macroeconomic trends, including economic uncertainty, turmoil in the financial services industry, the effects of inflation, fluctuating interest rates, foreign currency exchange rate and monetary supply fluctuations, international tensions and volatility in capital markets; conditions and uncertainties in the geopolitical environment, including sanctions and disruptions resulting from the ongoing war in Ukraine and the Israel-Hamas war; continuing supply chain and logistics costs, constraints, changes or disruptions; defects or disruptions in our products or IT systems, including outages, cyber-attacks, data breaches or malware; difficulties in integrating our acquisitions and investments; failure to realize the expected benefits of any of our acquisitions, reorganizations or investments; changes to economic, political and regulatory conditions in the United States and internationally, including changes in government policies , regulations and resources; our ability to attract and retain key personnel; delay in developing or failure to develop new products, service offerings or functionalities, and if developed, lack of market acceptance of such service offerings and functionalities or failure of such solutions to operate as expected, and other factors that are discussed in our Annual Report on Form 10-K, quarterly reports on Form 10-Q, and other documents filed with the SEC.</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 addition, the statements in this press release and on our quarterly earnings conference call represent Akamai's expectations and beliefs as of the date of this press release. Akamai anticipates that subsequent events and developments may cause these expectations and beliefs to change. However, while Akamai may elect to update these forward-looking statements at some point in the future, it specifically disclaims any obligation to do so. These forward-looking statements should not be relied upon as representing Akamai's expectations or beliefs as of any date subsequent to the date of this press release.</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6940</Words>
  <Characters>40236</Characters>
  <CharactersWithSpaces>46480</CharactersWithSpaces>
  <Paragraphs>1495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