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3781d8k.htm"/>
      <w:bookmarkStart w:id="1" w:name="ksd12378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May 18,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AKAMAI TECHNOLOGIES,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000-27275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04-3432319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center"/>
              <w:rPr>
                <w:b/>
              </w:rPr>
            </w:pPr>
            <w:r>
              <w:rPr>
                <w:b/>
              </w:rPr>
              <w:t>145 Broadway</w:t>
            </w:r>
          </w:p>
        </w:tc>
      </w:tr>
      <w:tr>
        <w:trPr/>
        <w:tc>
          <w:tcPr>
            <w:tcW w:w="5120" w:type="dxa"/>
            <w:tcBorders/>
            <w:vAlign w:val="center"/>
          </w:tcPr>
          <w:p>
            <w:pPr>
              <w:pStyle w:val="TableContents"/>
              <w:bidi w:val="0"/>
              <w:spacing w:before="0" w:after="283"/>
              <w:jc w:val="center"/>
              <w:rPr>
                <w:b/>
              </w:rPr>
            </w:pPr>
            <w:r>
              <w:rPr>
                <w:b/>
              </w:rPr>
              <w:t>Cambridge, MA 02142</w:t>
            </w:r>
          </w:p>
        </w:tc>
      </w:tr>
      <w:tr>
        <w:trPr/>
        <w:tc>
          <w:tcPr>
            <w:tcW w:w="5120" w:type="dxa"/>
            <w:tcBorders/>
            <w:vAlign w:val="center"/>
          </w:tcPr>
          <w:p>
            <w:pPr>
              <w:pStyle w:val="TableContents"/>
              <w:bidi w:val="0"/>
              <w:spacing w:before="0" w:after="283"/>
              <w:jc w:val="center"/>
              <w:rPr>
                <w:b/>
              </w:rPr>
            </w:pPr>
            <w:r>
              <w:rPr>
                <w:b/>
              </w:rPr>
              <w:t>(Address of principal executive offices) (Zip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444-3000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825" w:type="dxa"/>
        <w:jc w:val="left"/>
        <w:tblInd w:w="0" w:type="dxa"/>
        <w:tblLayout w:type="fixed"/>
        <w:tblCellMar>
          <w:top w:w="0" w:type="dxa"/>
          <w:left w:w="0" w:type="dxa"/>
          <w:bottom w:w="0" w:type="dxa"/>
          <w:right w:w="0" w:type="dxa"/>
        </w:tblCellMar>
      </w:tblPr>
      <w:tblGrid>
        <w:gridCol w:w="3110"/>
        <w:gridCol w:w="60"/>
        <w:gridCol w:w="770"/>
        <w:gridCol w:w="60"/>
        <w:gridCol w:w="2825"/>
      </w:tblGrid>
      <w:tr>
        <w:trPr/>
        <w:tc>
          <w:tcPr>
            <w:tcW w:w="31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3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11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AKAM</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May 18, 2026, Akamai Technologies, Inc. (“Akamai”) entered into an Amendment No. 3 (the “Third Amendment”), by and among Akamai, the financial institutions identified therein as lenders and JPMorgan Chase Bank, N.A., as administrative agent (the “Agent”), which amends that certain Credit Agreement (the “Credit Agreement”), dated November 22, 2022 (as amended on April 17, 2025 and May 12, 2025), by and among Akamai, the financial institutions party thereto from time to time as lenders and the Agent. The Third Amendment, among other things, increases the maximum consolidated leverage ratio financial covenant to 4.75:1.00 for the four consecutive fiscal quarter periods ending on June 30, 2026 and September 30, 2026.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Third Amendment contained herein is qualified in its entirety by reference to the Third Amendment, a copy of which is filed herewith as Exhibit 10.1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contained in Item 1.01 above regarding the Third Amendment is incorporated by reference into this Item 2.03.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May 18, 2026, Akamai issued a press release announcing that it intends to offer, subject to market and other conditions, $1.3 billion of Convertible Senior Notes due 2030 and $1.3 billion of Convertible Senior Notes due 2032 in a private offering to qualified institutional buyers. A copy of the press release is filed herewith as Exhibit 99.1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23781dex101.htm">
              <w:r>
                <w:rPr>
                  <w:rStyle w:val="InternetLink"/>
                </w:rPr>
                <w:t xml:space="preserve">Amendment No. 3 by and among Akamai Technologies, Inc., the financial institutions identified therein as lenders and JPMorgan Chase Bank, N.A., as administrative agent, dated May 18,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123781dex991.htm">
              <w:r>
                <w:rPr>
                  <w:rStyle w:val="InternetLink"/>
                </w:rPr>
                <w:t xml:space="preserve">Press release dated May 18,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9278" w:type="dxa"/>
        <w:jc w:val="left"/>
        <w:tblInd w:w="0" w:type="dxa"/>
        <w:tblLayout w:type="fixed"/>
        <w:tblCellMar>
          <w:top w:w="0" w:type="dxa"/>
          <w:left w:w="0" w:type="dxa"/>
          <w:bottom w:w="0" w:type="dxa"/>
          <w:right w:w="0" w:type="dxa"/>
        </w:tblCellMar>
      </w:tblPr>
      <w:tblGrid>
        <w:gridCol w:w="1940"/>
        <w:gridCol w:w="60"/>
        <w:gridCol w:w="23"/>
        <w:gridCol w:w="60"/>
        <w:gridCol w:w="650"/>
        <w:gridCol w:w="60"/>
        <w:gridCol w:w="648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95" w:type="dxa"/>
            <w:gridSpan w:val="3"/>
            <w:tcBorders/>
            <w:vAlign w:val="center"/>
          </w:tcPr>
          <w:p>
            <w:pPr>
              <w:pStyle w:val="TableContents"/>
              <w:bidi w:val="0"/>
              <w:spacing w:before="0" w:after="283"/>
              <w:jc w:val="left"/>
              <w:rPr/>
            </w:pPr>
            <w:r>
              <w:rPr/>
              <w:t>AKAMAI TECHNOLOGIES,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18,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Aaron S. Ahola</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Aaron S. Ahola</w:t>
            </w:r>
          </w:p>
        </w:tc>
      </w:tr>
      <w:tr>
        <w:trPr/>
        <w:tc>
          <w:tcPr>
            <w:tcW w:w="194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Executive Vice President, General Counsel and Corporate Secretary</w:t>
            </w:r>
          </w:p>
        </w:tc>
      </w:tr>
    </w:tbl>
    <w:p>
      <w:pPr>
        <w:pStyle w:val="TextBody"/>
        <w:bidi w:val="0"/>
        <w:spacing w:before="0" w:after="0"/>
        <w:jc w:val="right"/>
        <w:rPr>
          <w:rFonts w:ascii="Times New Roman" w:hAnsi="Times New Roman"/>
          <w:b/>
          <w:sz w:val="20"/>
        </w:rPr>
      </w:pPr>
      <w:bookmarkStart w:id="2" w:name="d123781dex101.htm"/>
      <w:bookmarkStart w:id="3" w:name="ksd123781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AMENDMENT NO. 3 </w:t>
      </w:r>
    </w:p>
    <w:p>
      <w:pPr>
        <w:pStyle w:val="TextBody"/>
        <w:bidi w:val="0"/>
        <w:spacing w:before="120" w:after="0"/>
        <w:jc w:val="center"/>
        <w:rPr>
          <w:rFonts w:ascii="Times New Roman" w:hAnsi="Times New Roman"/>
          <w:sz w:val="20"/>
        </w:rPr>
      </w:pPr>
      <w:r>
        <w:rPr>
          <w:rFonts w:ascii="Times New Roman" w:hAnsi="Times New Roman"/>
          <w:sz w:val="20"/>
        </w:rPr>
        <w:t xml:space="preserve">Dated as of May 18, 2026 </w:t>
      </w:r>
    </w:p>
    <w:p>
      <w:pPr>
        <w:pStyle w:val="TextBody"/>
        <w:bidi w:val="0"/>
        <w:spacing w:before="120" w:after="0"/>
        <w:jc w:val="center"/>
        <w:rPr>
          <w:rFonts w:ascii="Times New Roman" w:hAnsi="Times New Roman"/>
          <w:sz w:val="20"/>
        </w:rPr>
      </w:pPr>
      <w:r>
        <w:rPr>
          <w:rFonts w:ascii="Times New Roman" w:hAnsi="Times New Roman"/>
          <w:sz w:val="20"/>
        </w:rPr>
        <w:t xml:space="preserve">to </w:t>
      </w:r>
    </w:p>
    <w:p>
      <w:pPr>
        <w:pStyle w:val="TextBody"/>
        <w:bidi w:val="0"/>
        <w:spacing w:before="12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120" w:after="0"/>
        <w:jc w:val="center"/>
        <w:rPr>
          <w:rFonts w:ascii="Times New Roman" w:hAnsi="Times New Roman"/>
          <w:sz w:val="20"/>
        </w:rPr>
      </w:pPr>
      <w:r>
        <w:rPr>
          <w:rFonts w:ascii="Times New Roman" w:hAnsi="Times New Roman"/>
          <w:sz w:val="20"/>
        </w:rPr>
        <w:t xml:space="preserve">Dated as of November 22, 2022 </w:t>
      </w:r>
    </w:p>
    <w:p>
      <w:pPr>
        <w:pStyle w:val="TextBody"/>
        <w:bidi w:val="0"/>
        <w:spacing w:before="240" w:after="0"/>
        <w:jc w:val="left"/>
        <w:rPr>
          <w:rFonts w:ascii="Times New Roman" w:hAnsi="Times New Roman"/>
          <w:sz w:val="20"/>
        </w:rPr>
      </w:pPr>
      <w:r>
        <w:rPr>
          <w:rFonts w:ascii="Times New Roman" w:hAnsi="Times New Roman"/>
          <w:sz w:val="20"/>
        </w:rPr>
        <w:t>THIS AMENDMENT NO. 3 (this “</w:t>
      </w:r>
      <w:r>
        <w:rPr>
          <w:rFonts w:ascii="Times New Roman" w:hAnsi="Times New Roman"/>
          <w:sz w:val="20"/>
          <w:u w:val="single"/>
        </w:rPr>
        <w:t>Amendment</w:t>
      </w:r>
      <w:r>
        <w:rPr>
          <w:rFonts w:ascii="Times New Roman" w:hAnsi="Times New Roman"/>
          <w:sz w:val="20"/>
        </w:rPr>
        <w:t>”) is made as of May 18, 2026 by and among Akamai Technologies, Inc. (the “</w:t>
      </w:r>
      <w:r>
        <w:rPr>
          <w:rFonts w:ascii="Times New Roman" w:hAnsi="Times New Roman"/>
          <w:sz w:val="20"/>
          <w:u w:val="single"/>
        </w:rPr>
        <w:t>Company</w:t>
      </w:r>
      <w:r>
        <w:rPr>
          <w:rFonts w:ascii="Times New Roman" w:hAnsi="Times New Roman"/>
          <w:sz w:val="20"/>
        </w:rPr>
        <w:t>”), the financial institutions listed on the signature pages hereof and JPMorgan Chase Bank, N.A., as Administrative Agent (the “</w:t>
      </w:r>
      <w:r>
        <w:rPr>
          <w:rFonts w:ascii="Times New Roman" w:hAnsi="Times New Roman"/>
          <w:sz w:val="20"/>
          <w:u w:val="single"/>
        </w:rPr>
        <w:t>Administrative Agent</w:t>
      </w:r>
      <w:r>
        <w:rPr>
          <w:rFonts w:ascii="Times New Roman" w:hAnsi="Times New Roman"/>
          <w:sz w:val="20"/>
        </w:rPr>
        <w:t>”), under that certain Credit Agreement dated as of November 22, 2022 by and among the Company, the Foreign Subsidiary Borrowers party thereto, the Lenders party thereto and the Administrative Agent (as amended by that certain Amendment No. 1, dated as of April 17, 2025, that certain Amendment No. 2, dated as of May 12, 2025 and as may be further amended, restated, supplemented or otherwise modified from time to time, the “</w:t>
      </w:r>
      <w:r>
        <w:rPr>
          <w:rFonts w:ascii="Times New Roman" w:hAnsi="Times New Roman"/>
          <w:sz w:val="20"/>
          <w:u w:val="single"/>
        </w:rPr>
        <w:t>Credit Agreement</w:t>
      </w:r>
      <w:r>
        <w:rPr>
          <w:rFonts w:ascii="Times New Roman" w:hAnsi="Times New Roman"/>
          <w:sz w:val="20"/>
        </w:rPr>
        <w:t xml:space="preserve">”). Capitalized terms used herein and not otherwise defined herein shall have the respective meanings given to them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requested that each of the Lenders and the Administrative Agent agree to certain amendments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the Lenders party hereto and the Administrative Agent have agreed to amend the Credit Agreement on the terms and conditions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set forth above, the terms and conditions contained herein, and other good and valuable consideration, the receipt and sufficiency of which are hereby acknowledged, the Company, the Lenders party hereto and the Administrative Agent hereby agree to enter into this Amendment.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Amendments to the Credit Agreement</w:t>
      </w:r>
      <w:r>
        <w:rPr>
          <w:rFonts w:ascii="Times New Roman" w:hAnsi="Times New Roman"/>
          <w:sz w:val="20"/>
        </w:rPr>
        <w:t xml:space="preserve">. Effective as of the date of satisfaction of the conditions precedent set forth in </w:t>
      </w:r>
      <w:r>
        <w:rPr>
          <w:rFonts w:ascii="Times New Roman" w:hAnsi="Times New Roman"/>
          <w:sz w:val="20"/>
          <w:u w:val="single"/>
        </w:rPr>
        <w:t>Section 2</w:t>
      </w:r>
      <w:r>
        <w:rPr>
          <w:rFonts w:ascii="Times New Roman" w:hAnsi="Times New Roman"/>
          <w:sz w:val="20"/>
        </w:rPr>
        <w:t xml:space="preserve"> below, the parties hereto agree that the Credit Agreement is hereby amended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6.04(a)</w:t>
      </w:r>
      <w:r>
        <w:rPr>
          <w:rFonts w:ascii="Times New Roman" w:hAnsi="Times New Roman"/>
          <w:sz w:val="20"/>
        </w:rPr>
        <w:t xml:space="preserve"> of the Credit Agreement is hereby restated in its entirety as follows: </w:t>
      </w:r>
    </w:p>
    <w:p>
      <w:pPr>
        <w:pStyle w:val="TextBody"/>
        <w:bidi w:val="0"/>
        <w:spacing w:before="120" w:after="0"/>
        <w:jc w:val="left"/>
        <w:rPr/>
      </w:pPr>
      <w:r>
        <w:rPr/>
        <w:t>“</w:t>
      </w:r>
      <w:r>
        <w:rPr>
          <w:rFonts w:ascii="Times New Roman" w:hAnsi="Times New Roman"/>
          <w:sz w:val="20"/>
        </w:rPr>
        <w:t xml:space="preserve">(a) </w:t>
      </w:r>
      <w:r>
        <w:rPr>
          <w:rFonts w:ascii="Times New Roman" w:hAnsi="Times New Roman"/>
          <w:sz w:val="20"/>
          <w:u w:val="single"/>
        </w:rPr>
        <w:t>Maximum Leverage Ratio</w:t>
      </w:r>
      <w:r>
        <w:rPr>
          <w:rFonts w:ascii="Times New Roman" w:hAnsi="Times New Roman"/>
          <w:sz w:val="20"/>
        </w:rPr>
        <w:t>. The Company will not permit the ratio (the “</w:t>
      </w:r>
      <w:r>
        <w:rPr>
          <w:rFonts w:ascii="Times New Roman" w:hAnsi="Times New Roman"/>
          <w:sz w:val="20"/>
          <w:u w:val="single"/>
        </w:rPr>
        <w:t>Leverage Ratio</w:t>
      </w:r>
      <w:r>
        <w:rPr>
          <w:rFonts w:ascii="Times New Roman" w:hAnsi="Times New Roman"/>
          <w:sz w:val="20"/>
        </w:rPr>
        <w:t xml:space="preserve">”), determined as of the end of each of its fiscal quarters, of (i) Consolidated Total Indebtedness to (ii) Consolidated EBITDA for the period of four (4) consecutive fiscal quarters ending with the end of such fiscal quarter, all calculated for the Company and its Subsidiaries on a consolidated basis, to be greater than (A) 3.50 to 1.00 for each of the fiscal quarters ending December 31, 2022 through and including March 31, 2026, (B) 4.75 to 1.00 for the fiscal quarters ending June 30, 2026 and September 30, 2026 and (C) 3.50 to 1.00 for the fiscal quarter ending December 31, 2026 and each fiscal quarter ending thereafter; </w:t>
      </w:r>
      <w:r>
        <w:rPr>
          <w:rFonts w:ascii="Times New Roman" w:hAnsi="Times New Roman"/>
          <w:sz w:val="20"/>
          <w:u w:val="single"/>
        </w:rPr>
        <w:t>provided</w:t>
      </w:r>
      <w:r>
        <w:rPr>
          <w:rFonts w:ascii="Times New Roman" w:hAnsi="Times New Roman"/>
          <w:sz w:val="20"/>
        </w:rPr>
        <w:t xml:space="preserve"> that at any time after the definitive agreement for any Qualifying Material Acquisition shall have been executed (or, in the case of a Qualifying Material Acquisition in the form of a tender offer or similar transaction, after the offer shall have been launched) and prior to the consummation of such Qualifying Material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Acquisition (or termination of the definitive documentation in respect thereof (or such later date as such Indebtedness ceases to constitute Acquisition Indebtedness)), any Acquisition Indebtedness shall be excluded from the determination of the Leverage Ratio. Notwithstanding the foregoing, the Company shall be permitted, but in no event on more than two (2) occasions during the term of this Agreement, to allow the maximum Leverage Ratio permitted under this Section 6.04(a) to be increased to 4.00 to 1.00 for a period of four consecutive fiscal quarters ending on or after December 31, 2026 (such period, an “</w:t>
      </w:r>
      <w:r>
        <w:rPr>
          <w:rFonts w:ascii="Times New Roman" w:hAnsi="Times New Roman"/>
          <w:sz w:val="20"/>
          <w:u w:val="single"/>
        </w:rPr>
        <w:t>Adjusted Covenant Period</w:t>
      </w:r>
      <w:r>
        <w:rPr>
          <w:rFonts w:ascii="Times New Roman" w:hAnsi="Times New Roman"/>
          <w:sz w:val="20"/>
        </w:rPr>
        <w:t xml:space="preserve">”) in connection with a Qualifying Material Acquisition occurring during the first of such four fiscal quarters (and in respect of which the Company shall provide notice in writing to the Administrative Agent (for distribution to the Lenders) of such increase and a transaction description of such Qualifying Material Acquisition (including the name of the person or summary description of the assets being acquired and the approximate purchase price)), so long as the Company is in compliance on a pro forma basis with the maximum Leverage Ratio of 4.00 to 1.00 on the closing date of such Qualifying Material Acquisition immediately after giving effect (including pro forma effect) to such Qualifying Material Acquisition; </w:t>
      </w:r>
      <w:r>
        <w:rPr>
          <w:rFonts w:ascii="Times New Roman" w:hAnsi="Times New Roman"/>
          <w:sz w:val="20"/>
          <w:u w:val="single"/>
        </w:rPr>
        <w:t>provided</w:t>
      </w:r>
      <w:r>
        <w:rPr>
          <w:rFonts w:ascii="Times New Roman" w:hAnsi="Times New Roman"/>
          <w:sz w:val="20"/>
        </w:rPr>
        <w:t xml:space="preserve"> that it is understood and agreed that (x) the Company may not elect a new Adjusted Covenant Period for at least two fiscal quarters following the end of an Adjusted Covenant Period and (y) the maximum Leverage Ratio permitted under this Section 6.04(a) shall revert to 3.50 to 1.00 as of the end of such Adjusted Covenant Period and thereafter until another Adjusted Covenant Period (if any) is elected pursuant to the terms and conditions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Article VII</w:t>
      </w:r>
      <w:r>
        <w:rPr>
          <w:rFonts w:ascii="Times New Roman" w:hAnsi="Times New Roman"/>
          <w:sz w:val="20"/>
        </w:rPr>
        <w:t xml:space="preserve"> of the Credit Agreement is hereby amended to (i) delete the “or” at the end of clause (m) thereof, (ii) insert the word “or” at the end of clause (n) thereof and (iii) insert a new clause (o) therein immediately following clause (n) thereof as follows: </w:t>
      </w:r>
    </w:p>
    <w:p>
      <w:pPr>
        <w:pStyle w:val="TextBody"/>
        <w:bidi w:val="0"/>
        <w:spacing w:before="120" w:after="0"/>
        <w:jc w:val="left"/>
        <w:rPr/>
      </w:pPr>
      <w:r>
        <w:rPr/>
        <w:t>“</w:t>
      </w:r>
      <w:r>
        <w:rPr>
          <w:rFonts w:ascii="Times New Roman" w:hAnsi="Times New Roman"/>
          <w:sz w:val="20"/>
        </w:rPr>
        <w:t xml:space="preserve">(o) the Company shall fail to enter into an executed and effective amendment to this Agreement with the Administrative Agent and the Required Lenders on or prior to December 31, 2026, providing for revised terms hereof in respect of pricing, credit support for the Obligations (including guarantees and collateral security to the extent reasonably requested by the Required Lenders), representations and warranties, affirmative and negative covenants (including financial covenants), events of default and related provisions, in each case to the extent reasonably requested by, reasonably satisfactory to and approved by the Administrative Agent and the Required Lenders (such approval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Conditions of Effectiveness</w:t>
      </w:r>
      <w:r>
        <w:rPr>
          <w:rFonts w:ascii="Times New Roman" w:hAnsi="Times New Roman"/>
          <w:sz w:val="20"/>
        </w:rPr>
        <w:t xml:space="preserve">. The effectiveness of this Amendment is subject to the conditions precedent that the Administrative Agent shall have received (i) counterparts of this Amendment duly executed by the Company, the Required Lenders and the Administrative Agent and (ii) payment and/or reimbursement of the Administrative Agent’s and its affiliates’ reasonable and documented out-of-pocket fees and expenses (including reasonable and documented fees, charges and disbursements of counsel for the Administrative Agent) in connection with this Amendment, in each case to the extent invoiced and to the extent required to be paid or reimbursed by the Company pursuant to Section 9.03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Representations and Warranties of the Company</w:t>
      </w:r>
      <w:r>
        <w:rPr>
          <w:rFonts w:ascii="Times New Roman" w:hAnsi="Times New Roman"/>
          <w:sz w:val="20"/>
        </w:rPr>
        <w:t xml:space="preserve">. The Company hereby represents and warrants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This Amendment constitutes the legal, valid and binding obligation of the Company, enforceable against Company in accordance with its terms, subject to applicable bankruptcy, insolvency, reorganization, moratorium or other laws affecting creditors’ rights generally and subject to general principles of equity, regardless of whether considered in a proceeding in equity or at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As of the date hereof and immediately after giving effect to this Amendment, (i) no Event of Default or Default has occurred and is continuing and (ii) the representations and warranties of the Company set forth in the Credit Agreement (other than the representations and warranties contained in Sections 3.04(b) and 3.06(a) of the Credit Agreement) are true and correct in all material respects (</w:t>
      </w:r>
      <w:r>
        <w:rPr>
          <w:rFonts w:ascii="Times New Roman" w:hAnsi="Times New Roman"/>
          <w:sz w:val="20"/>
          <w:u w:val="single"/>
        </w:rPr>
        <w:t>provided</w:t>
      </w:r>
      <w:r>
        <w:rPr>
          <w:rFonts w:ascii="Times New Roman" w:hAnsi="Times New Roman"/>
          <w:sz w:val="20"/>
        </w:rPr>
        <w:t xml:space="preserve"> 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 w:hAnsi="Times New Roman"/>
          <w:sz w:val="20"/>
          <w:u w:val="single"/>
        </w:rPr>
        <w:t>provided</w:t>
      </w:r>
      <w:r>
        <w:rPr>
          <w:rFonts w:ascii="Times New Roman" w:hAnsi="Times New Roman"/>
          <w:sz w:val="20"/>
        </w:rPr>
        <w:t xml:space="preserve"> that any representation or warranty that is qualified by materiality or Material Adverse Effect are true and correct in all respects) as of such earlier date.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Reference to and Effect on the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effectiveness hereof, each reference to the Credit Agreement in the Credit Agreement or any other Loan Document shall mean and be a reference to the Credit Agreement as amended hereby. </w:t>
      </w:r>
    </w:p>
    <w:p>
      <w:pPr>
        <w:pStyle w:val="TextBody"/>
        <w:bidi w:val="0"/>
        <w:spacing w:before="240" w:after="0"/>
        <w:jc w:val="left"/>
        <w:rPr>
          <w:rFonts w:ascii="Times New Roman" w:hAnsi="Times New Roman"/>
          <w:sz w:val="20"/>
        </w:rPr>
      </w:pPr>
      <w:r>
        <w:rPr>
          <w:rFonts w:ascii="Times New Roman" w:hAnsi="Times New Roman"/>
          <w:sz w:val="20"/>
        </w:rPr>
        <w:t xml:space="preserve">(b) Each Loan Document and all other documents, instruments and agreements executed and/or delivered in connection therewith shall remain in full force and effect and are hereby ratified and confirmed. </w:t>
      </w:r>
    </w:p>
    <w:p>
      <w:pPr>
        <w:pStyle w:val="TextBody"/>
        <w:bidi w:val="0"/>
        <w:spacing w:before="240" w:after="0"/>
        <w:jc w:val="left"/>
        <w:rPr>
          <w:rFonts w:ascii="Times New Roman" w:hAnsi="Times New Roman"/>
          <w:sz w:val="20"/>
        </w:rPr>
      </w:pPr>
      <w:r>
        <w:rPr>
          <w:rFonts w:ascii="Times New Roman" w:hAnsi="Times New Roman"/>
          <w:sz w:val="20"/>
        </w:rPr>
        <w:t xml:space="preserve">(c) Except as expressly set forth herein, the execution, delivery and effectiveness of this Amendment shall not operate as a waiver of any right, power or remedy of the Administrative Agent or the Lenders, nor constitute a waiver of any provision of the Credit Agreement, the Loan Documents or any other documents, instruments and agreements executed and/or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(d) This Amendment is a Loan Document under (and as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Governing Law</w:t>
      </w:r>
      <w:r>
        <w:rPr>
          <w:rFonts w:ascii="Times New Roman" w:hAnsi="Times New Roman"/>
          <w:sz w:val="20"/>
        </w:rPr>
        <w:t xml:space="preserve">. This Amendment shall be construed in accordance with and governed by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Headings</w:t>
      </w:r>
      <w:r>
        <w:rPr>
          <w:rFonts w:ascii="Times New Roman" w:hAnsi="Times New Roman"/>
          <w:sz w:val="20"/>
        </w:rPr>
        <w:t xml:space="preserve">. Section headings in this Amendment are included herein for convenience of reference only and shall not constitute a part of this Amendment for any other purpose.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Counterparts</w:t>
      </w:r>
      <w:r>
        <w:rPr>
          <w:rFonts w:ascii="Times New Roman" w:hAnsi="Times New Roman"/>
          <w:sz w:val="20"/>
        </w:rPr>
        <w:t>. 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hAnsi="Times New Roman"/>
          <w:sz w:val="20"/>
          <w:u w:val="single"/>
        </w:rPr>
        <w:t>Electronic Signatures</w:t>
      </w:r>
      <w:r>
        <w:rPr>
          <w:rFonts w:ascii="Times New Roman" w:hAnsi="Times New Roman"/>
          <w:sz w:val="20"/>
        </w:rPr>
        <w:t xml:space="preserve">” means any electronic symbol or process attached to, or associated with, any contract or other record and adopted by a person with the intent to sign, authenticate or accept such contract or record.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and delivered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AKAMAI TECHNOLOGIES, INC.,</w:t>
            </w:r>
          </w:p>
        </w:tc>
      </w:tr>
      <w:tr>
        <w:trPr/>
        <w:tc>
          <w:tcPr>
            <w:tcW w:w="4082" w:type="dxa"/>
            <w:gridSpan w:val="3"/>
            <w:tcBorders/>
          </w:tcPr>
          <w:p>
            <w:pPr>
              <w:pStyle w:val="TableContents"/>
              <w:bidi w:val="0"/>
              <w:spacing w:before="0" w:after="283"/>
              <w:jc w:val="left"/>
              <w:rPr/>
            </w:pPr>
            <w:r>
              <w:rPr/>
              <w:t>as the Company</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David Neshat</w:t>
            </w:r>
          </w:p>
        </w:tc>
      </w:tr>
      <w:tr>
        <w:trPr/>
        <w:tc>
          <w:tcPr>
            <w:tcW w:w="4082" w:type="dxa"/>
            <w:gridSpan w:val="3"/>
            <w:tcBorders/>
          </w:tcPr>
          <w:p>
            <w:pPr>
              <w:pStyle w:val="TableContents"/>
              <w:bidi w:val="0"/>
              <w:spacing w:before="0" w:after="283"/>
              <w:jc w:val="left"/>
              <w:rPr>
                <w:sz w:val="20"/>
              </w:rPr>
            </w:pPr>
            <w:r>
              <w:rPr>
                <w:sz w:val="20"/>
              </w:rPr>
              <w:t>Name: David Neshat</w:t>
            </w:r>
          </w:p>
        </w:tc>
      </w:tr>
      <w:tr>
        <w:trPr/>
        <w:tc>
          <w:tcPr>
            <w:tcW w:w="4082" w:type="dxa"/>
            <w:gridSpan w:val="3"/>
            <w:tcBorders/>
          </w:tcPr>
          <w:p>
            <w:pPr>
              <w:pStyle w:val="TableContents"/>
              <w:bidi w:val="0"/>
              <w:spacing w:before="0" w:after="283"/>
              <w:jc w:val="left"/>
              <w:rPr>
                <w:sz w:val="20"/>
              </w:rPr>
            </w:pPr>
            <w:r>
              <w:rPr>
                <w:sz w:val="20"/>
              </w:rPr>
              <w:t>Title: Vice President, Treasury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to </w:t>
      </w:r>
    </w:p>
    <w:p>
      <w:pPr>
        <w:pStyle w:val="TextBody"/>
        <w:bidi w:val="0"/>
        <w:spacing w:before="0" w:after="0"/>
        <w:jc w:val="center"/>
        <w:rPr>
          <w:rFonts w:ascii="Times New Roman" w:hAnsi="Times New Roman"/>
          <w:sz w:val="20"/>
        </w:rPr>
      </w:pPr>
      <w:r>
        <w:rPr>
          <w:rFonts w:ascii="Times New Roman" w:hAnsi="Times New Roman"/>
          <w:sz w:val="20"/>
        </w:rPr>
        <w:t xml:space="preserve">Credit Agreement dated as of November 22, 2022 </w:t>
      </w:r>
    </w:p>
    <w:p>
      <w:pPr>
        <w:pStyle w:val="TextBody"/>
        <w:bidi w:val="0"/>
        <w:spacing w:before="0" w:after="0"/>
        <w:jc w:val="center"/>
        <w:rPr>
          <w:rFonts w:ascii="Times New Roman" w:hAnsi="Times New Roman"/>
          <w:sz w:val="20"/>
        </w:rPr>
      </w:pPr>
      <w:r>
        <w:rPr>
          <w:rFonts w:ascii="Times New Roman" w:hAnsi="Times New Roman"/>
          <w:sz w:val="20"/>
        </w:rPr>
        <w:t xml:space="preserve">Akamai Technologies, Inc.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w:t>
            </w:r>
          </w:p>
        </w:tc>
      </w:tr>
      <w:tr>
        <w:trPr/>
        <w:tc>
          <w:tcPr>
            <w:tcW w:w="4082" w:type="dxa"/>
            <w:gridSpan w:val="3"/>
            <w:tcBorders/>
          </w:tcPr>
          <w:p>
            <w:pPr>
              <w:pStyle w:val="TableContents"/>
              <w:bidi w:val="0"/>
              <w:spacing w:before="0" w:after="283"/>
              <w:jc w:val="left"/>
              <w:rPr/>
            </w:pPr>
            <w:r>
              <w:rPr/>
              <w:t>individually as a Lender and as Administrative Agent</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Ryan Zimmermann</w:t>
            </w:r>
          </w:p>
        </w:tc>
      </w:tr>
      <w:tr>
        <w:trPr/>
        <w:tc>
          <w:tcPr>
            <w:tcW w:w="4082" w:type="dxa"/>
            <w:gridSpan w:val="3"/>
            <w:tcBorders/>
          </w:tcPr>
          <w:p>
            <w:pPr>
              <w:pStyle w:val="TableContents"/>
              <w:bidi w:val="0"/>
              <w:spacing w:before="0" w:after="283"/>
              <w:jc w:val="left"/>
              <w:rPr>
                <w:sz w:val="20"/>
              </w:rPr>
            </w:pPr>
            <w:r>
              <w:rPr>
                <w:sz w:val="20"/>
              </w:rPr>
              <w:t>Name:Ryan Zimmermann</w:t>
            </w:r>
          </w:p>
        </w:tc>
      </w:tr>
      <w:tr>
        <w:trPr/>
        <w:tc>
          <w:tcPr>
            <w:tcW w:w="4082" w:type="dxa"/>
            <w:gridSpan w:val="3"/>
            <w:tcBorders/>
          </w:tcPr>
          <w:p>
            <w:pPr>
              <w:pStyle w:val="TableContents"/>
              <w:bidi w:val="0"/>
              <w:spacing w:before="0" w:after="283"/>
              <w:jc w:val="left"/>
              <w:rPr>
                <w:sz w:val="20"/>
              </w:rPr>
            </w:pPr>
            <w:r>
              <w:rPr>
                <w:sz w:val="20"/>
              </w:rPr>
              <w:t>Title: Executive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Amendment No. 3 to </w:t>
      </w:r>
    </w:p>
    <w:p>
      <w:pPr>
        <w:pStyle w:val="TextBody"/>
        <w:bidi w:val="0"/>
        <w:spacing w:before="0" w:after="0"/>
        <w:jc w:val="center"/>
        <w:rPr>
          <w:rFonts w:ascii="Times New Roman" w:hAnsi="Times New Roman"/>
          <w:sz w:val="20"/>
        </w:rPr>
      </w:pPr>
      <w:r>
        <w:rPr>
          <w:rFonts w:ascii="Times New Roman" w:hAnsi="Times New Roman"/>
          <w:sz w:val="20"/>
        </w:rPr>
        <w:t xml:space="preserve">Credit Agreement dated as of November 22, 2022 </w:t>
      </w:r>
    </w:p>
    <w:p>
      <w:pPr>
        <w:pStyle w:val="TextBody"/>
        <w:bidi w:val="0"/>
        <w:spacing w:before="0" w:after="0"/>
        <w:jc w:val="center"/>
        <w:rPr>
          <w:rFonts w:ascii="Times New Roman" w:hAnsi="Times New Roman"/>
          <w:sz w:val="20"/>
        </w:rPr>
      </w:pPr>
      <w:r>
        <w:rPr>
          <w:rFonts w:ascii="Times New Roman" w:hAnsi="Times New Roman"/>
          <w:sz w:val="20"/>
        </w:rPr>
        <w:t xml:space="preserve">Akamai Technologies,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[Lender signature pages on file with Administrative Agent] </w:t>
      </w:r>
    </w:p>
    <w:p>
      <w:pPr>
        <w:pStyle w:val="TextBody"/>
        <w:bidi w:val="0"/>
        <w:spacing w:before="0" w:after="0"/>
        <w:jc w:val="right"/>
        <w:rPr>
          <w:rFonts w:ascii="Times New Roman" w:hAnsi="Times New Roman"/>
          <w:b/>
          <w:sz w:val="20"/>
        </w:rPr>
      </w:pPr>
      <w:bookmarkStart w:id="4" w:name="d123781dex991.htm"/>
      <w:bookmarkStart w:id="5" w:name="ksd123781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Akamai Announces Proposed Offering of Convertible Senior Notes </w:t>
      </w:r>
    </w:p>
    <w:p>
      <w:pPr>
        <w:pStyle w:val="TextBody"/>
        <w:bidi w:val="0"/>
        <w:spacing w:before="240" w:after="0"/>
        <w:jc w:val="left"/>
        <w:rPr>
          <w:rFonts w:ascii="Times New Roman" w:hAnsi="Times New Roman"/>
          <w:sz w:val="20"/>
        </w:rPr>
      </w:pPr>
      <w:r>
        <w:rPr>
          <w:rFonts w:ascii="Times New Roman" w:hAnsi="Times New Roman"/>
          <w:b/>
          <w:sz w:val="20"/>
        </w:rPr>
        <w:t>CAMBRIDGE, Mass. – May</w:t>
      </w:r>
      <w:r>
        <w:rPr>
          <w:rFonts w:ascii="Times New Roman" w:hAnsi="Times New Roman"/>
          <w:sz w:val="20"/>
        </w:rPr>
        <w:t> </w:t>
      </w:r>
      <w:r>
        <w:rPr>
          <w:rFonts w:ascii="Times New Roman" w:hAnsi="Times New Roman"/>
          <w:b/>
          <w:sz w:val="20"/>
        </w:rPr>
        <w:t xml:space="preserve">18, 2026 – </w:t>
      </w:r>
      <w:r>
        <w:rPr>
          <w:rFonts w:ascii="Times New Roman" w:hAnsi="Times New Roman"/>
          <w:sz w:val="20"/>
        </w:rPr>
        <w:t xml:space="preserve">Akamai Technologies, Inc. (NASDAQ: AKAM) (“Akamai”), the cybersecurity and cloud computing company that powers and protects business online, today announced that it proposes to offer, subject to market factors and other conditions, $1.3 billion in aggregate principal amount of 0% convertible senior notes due 2030 (the “2030 Notes”) and $1.3 billion in aggregate principal amount of 0% convertible senior notes due 2032 (the “2032 Notes” and, together with the 2030 Notes, the “notes”). The notes are to be sold only to persons reasonably believed to be “qualified institutional buyers” pursuant to Rule 144A under the Securities Act of 1933, as amended (the “Securities Act”). In addition, Akamai will grant the initial purchasers for the offering an option to purchase up to an additional $200.0 million in aggregate principal amount of the 2030 Notes and an additional $200.0 million in aggregate principal amount of the 2032 Notes, in each case, on the same terms and conditions. Upon conversion, Akamai will pay cash up to the aggregate principal amount of the notes to be converted and pay or deliver, as the case may be, cash, shares of Akamai’s common stock or a combination of cash and shares of common stock, at Akamai’s election, in respect of the remainder, if any, of its conversion obligation in excess of the aggregate principal amount of the notes being converted. The notes will not bear regular interest, and the principal amount of the notes will not accrete. Any special interest on the notes will be payable semi-annually in arrears on May 15 and November 15 of each year, beginning on November 15, 2026 (if and to the extent special interest is then payable). The 2030 Notes will mature on May 15, 2030 and the 2032 Notes will mature on May 15, 2032, in each case, unless earlier repurchased or converted in accordance with their terms prior to such date. The initial conversion rate, offering price and other terms of the 2030 Notes and the 2032 Notes will be determined at the time of pricing the offering. The notes will be senior unsecured obligations of Akamai. </w:t>
      </w:r>
    </w:p>
    <w:p>
      <w:pPr>
        <w:pStyle w:val="TextBody"/>
        <w:bidi w:val="0"/>
        <w:spacing w:before="240" w:after="0"/>
        <w:jc w:val="left"/>
        <w:rPr>
          <w:rFonts w:ascii="Times New Roman" w:hAnsi="Times New Roman"/>
          <w:sz w:val="20"/>
        </w:rPr>
      </w:pPr>
      <w:r>
        <w:rPr>
          <w:rFonts w:ascii="Times New Roman" w:hAnsi="Times New Roman"/>
          <w:sz w:val="20"/>
        </w:rPr>
        <w:t xml:space="preserve">Subject to costs and expenses related to the convertible note hedge and warrant transactions and share repurchases described below, Akamai intends to use the remaining net proceeds from the offering to fund the accelerated capital expenditure requirements of the Cloud Infrastructure Services (CIS) business, prioritizing the rapid build-out of Akamai’s global footprint, and for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Akamai intends to use a portion of the net proceeds from the offering to pay the cost of the convertible note hedge transactions described below (after such cost is partially offset by the proceeds to Akamai from the sale of warrants pursuant to the warrant transactions described below). If the initial purchasers exercise their option to purchase additional notes, Akamai expects to sell additional warrants and use a portion of the net proceeds from the sale of such additional notes, together with the proceeds from the additional warrant transactions, to enter into additional convertible note hedge transactions with respect to the relevant series of notes as to which the option was exercised. </w:t>
      </w:r>
    </w:p>
    <w:p>
      <w:pPr>
        <w:pStyle w:val="TextBody"/>
        <w:bidi w:val="0"/>
        <w:spacing w:before="240" w:after="0"/>
        <w:jc w:val="left"/>
        <w:rPr>
          <w:rFonts w:ascii="Times New Roman" w:hAnsi="Times New Roman"/>
          <w:sz w:val="20"/>
        </w:rPr>
      </w:pPr>
      <w:r>
        <w:rPr>
          <w:rFonts w:ascii="Times New Roman" w:hAnsi="Times New Roman"/>
          <w:sz w:val="20"/>
        </w:rPr>
        <w:t xml:space="preserve">Akamai also intends to use approximately $350 million of the net proceeds from the offering to repurchase shares of its common stock from purchasers of the notes in the offering in privately-negotiated transactions effected through one or more of the initial purchasers or their affiliates. Akamai expects the purchase price per share in such transactions to equal the closing price per share of Akamai’s common stock on the date of pricing of the offering. The amount of Akamai’s common stock that Akamai actually repurchases may be more or less than $350 million. </w:t>
      </w:r>
    </w:p>
    <w:p>
      <w:pPr>
        <w:pStyle w:val="TextBody"/>
        <w:bidi w:val="0"/>
        <w:spacing w:before="240" w:after="0"/>
        <w:jc w:val="left"/>
        <w:rPr>
          <w:rFonts w:ascii="Times New Roman" w:hAnsi="Times New Roman"/>
          <w:sz w:val="20"/>
        </w:rPr>
      </w:pPr>
      <w:r>
        <w:rPr>
          <w:rFonts w:ascii="Times New Roman" w:hAnsi="Times New Roman"/>
          <w:sz w:val="20"/>
        </w:rPr>
        <w:t xml:space="preserve">If Akamai undergoes a fundamental change prior to the maturity date of the notes, subject to certain conditions and limited exceptions, holders may require Akamai to repurchase for cash all or any portion of their notes at a fundamental change repurchase price equal to 100% of the principal amount of the notes to be repurchased, plus any accrued and unpaid special interest to, but excluding, the fundamental change repurchase date.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pricing of the notes, Akamai expects to enter into convertible note hedge transactions and warrant transactions with one or more of the initial purchasers of the notes and/or their respective affiliates and/or other financial institutions (the “Option Counterparties”). The convertible note hedge transactions will cover, subject to anti-dilution adjustments substantially similar to those applicable to the notes, the same number of shares of Akamai’s common stock that will initially underlie the notes, including any notes purchased by the initial purchasers pursuant to their option to purchase additional notes. The convertible note hedge transactions are expected generally to reduce the potential dilution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respect to Akamai’s common stock upon any conversion of the notes and/or offset any cash payments Akamai is required to make in excess of the principal amount of converted notes, as the case may be. The warrants will cover, subject to customary anti-dilution adjustments, the same number of shares of Akamai’s common stock. The warrant transactions could separately have a dilutive effect with respect to Akamai’s common stock to the extent that the market price per share of Akamai’s common stock exceeds the strike price of the warrants, unless Akamai elects, subject to certain conditions, to settle the warrants in cash.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establishing their initial hedge of the convertible note hedge and warrant transactions, the Option Counterparties and/or their respective affiliates expect to purchase shares of Akamai’s common stock and/or enter into various derivative transactions with respect to Akamai’s common stock concurrently with or shortly after the pricing of the notes. This activity could increase (or reduce the size of any decrease in) the market price of Akamai’s common stock or the notes at that time. In addition, the Option Counterparties and/or their respective affiliates may modify their hedge positions by entering into or unwinding various derivatives with respect to Akamai’s common stock and/or purchasing or selling Akamai’s common stock or other securities of Akamai in secondary market transactions following the pricing of the notes and prior to the maturity of the notes (and are likely to do so during any observation period related to a conversion of the notes or following any repurchase of the notes by Akamai). This activity could also cause or avoid an increase or a decrease in the market price of Akamai’s common stock or the notes, which could affect the ability of holders to convert the notes and, to the extent the activity occurs during any observation period related to a conversion of the notes, it could affect the amount and value of the consideration that holders receive upon conversion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is being issued pursuant to Rule 135c under the Securities Act and shall not constitute an offer to sell nor a solicitation of an offer to buy any of these securities (including the shares of Akamai’s common stock, if any, issuable upon conversion of the notes). Any offer of notes will be made only by means of a private offering memorandum. The notes and the common stock issuable upon conversion of the notes, if any, have not been and will not be registered under the Securities Act or any state securities laws and may not be offered or sold in the United States absent registration or an applicable exemption from registration requirements.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sz w:val="20"/>
        </w:rPr>
        <w:t xml:space="preserve">The release contains information about future expectations, plans and prospects of Akamai’s management that constitute forward-looking statements for purposes of the safe harbor provisions under The Private Securities Litigation Reform Act of 1995, including statements with respect to Akamai’s expectations to complete the proposed offering of the notes, its use of proceeds from the offering and the effect of the concurrent stock repurchase and the convertible note hedge and warrant transactions. There can be no assurance that Akamai will be able to complete the proposed notes offering on the anticipated terms, or at all. Actual results may differ materially from those indicated by these forward-looking statements as a result of various important factors including, but not limited to, the terms of the notes and the offering, risks and uncertainties related to whether or not Akamai will consummate the offering, the impact of general economic, industry, market or political conditions and other factors that are discussed in Akamai’s Annual Report on Form 10-K, quarterly reports on Form 10-Q, and other documents periodically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statements in this press release represent Akamai’s expectations and beliefs as of the date of this press release. Akamai anticipates that subsequent events and developments may cause these expectations and beliefs to change. However, while Akamai may elect to update these forward-looking statements at some point in the future, it specifically disclaims any obligation to do so. These forward-looking statements should not be relied upon as representing Akamai’s expectations or beliefs as of any date subsequent to the date of this press release.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Akamai </w:t>
      </w:r>
    </w:p>
    <w:p>
      <w:pPr>
        <w:pStyle w:val="TextBody"/>
        <w:bidi w:val="0"/>
        <w:spacing w:before="120" w:after="0"/>
        <w:jc w:val="left"/>
        <w:rPr>
          <w:rFonts w:ascii="Times New Roman" w:hAnsi="Times New Roman"/>
          <w:sz w:val="20"/>
        </w:rPr>
      </w:pPr>
      <w:r>
        <w:rPr>
          <w:rFonts w:ascii="Times New Roman" w:hAnsi="Times New Roman"/>
          <w:sz w:val="20"/>
        </w:rPr>
        <w:t xml:space="preserve">Akamai is the cybersecurity and cloud computing company that powers and protects business online. Our market-leading security solutions, superior threat intelligence and global operations team provide defense in depth to safeguard enterprise data and applications everywhere. Akamai’s full-stack cloud computing solutions deliver performance and affordability on the world’s most distributed platform. Global enterprises trust Akamai to provide the industry-leading reliability, scale and expertise they need to grow their business with confidence.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1"/>
        <w:gridCol w:w="121"/>
        <w:gridCol w:w="4883"/>
      </w:tblGrid>
      <w:tr>
        <w:trPr/>
        <w:tc>
          <w:tcPr>
            <w:tcW w:w="52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Contacts:</w:t>
            </w:r>
          </w:p>
        </w:tc>
      </w:tr>
      <w:tr>
        <w:trPr/>
        <w:tc>
          <w:tcPr>
            <w:tcW w:w="5201" w:type="dxa"/>
            <w:tcBorders/>
          </w:tcPr>
          <w:p>
            <w:pPr>
              <w:pStyle w:val="TableContents"/>
              <w:bidi w:val="0"/>
              <w:spacing w:before="0" w:after="283"/>
              <w:jc w:val="left"/>
              <w:rPr/>
            </w:pPr>
            <w:r>
              <w:rPr/>
              <w:t>Johanna Schmitt</w:t>
            </w:r>
          </w:p>
        </w:tc>
        <w:tc>
          <w:tcPr>
            <w:tcW w:w="121" w:type="dxa"/>
            <w:tcBorders/>
            <w:vAlign w:val="bottom"/>
          </w:tcPr>
          <w:p>
            <w:pPr>
              <w:pStyle w:val="TableContents"/>
              <w:bidi w:val="0"/>
              <w:spacing w:before="0" w:after="283"/>
              <w:jc w:val="left"/>
              <w:rPr/>
            </w:pPr>
            <w:r>
              <w:rPr/>
              <w:t>  </w:t>
            </w:r>
          </w:p>
        </w:tc>
        <w:tc>
          <w:tcPr>
            <w:tcW w:w="4883" w:type="dxa"/>
            <w:tcBorders/>
            <w:vAlign w:val="bottom"/>
          </w:tcPr>
          <w:p>
            <w:pPr>
              <w:pStyle w:val="TableContents"/>
              <w:bidi w:val="0"/>
              <w:spacing w:before="0" w:after="283"/>
              <w:jc w:val="left"/>
              <w:rPr/>
            </w:pPr>
            <w:r>
              <w:rPr/>
              <w:t>Mark Stoutenberg</w:t>
            </w:r>
          </w:p>
        </w:tc>
      </w:tr>
      <w:tr>
        <w:trPr/>
        <w:tc>
          <w:tcPr>
            <w:tcW w:w="5201" w:type="dxa"/>
            <w:tcBorders/>
          </w:tcPr>
          <w:p>
            <w:pPr>
              <w:pStyle w:val="TableContents"/>
              <w:bidi w:val="0"/>
              <w:spacing w:before="0" w:after="283"/>
              <w:jc w:val="left"/>
              <w:rPr/>
            </w:pPr>
            <w:r>
              <w:rPr/>
              <w:t>Media Relations</w:t>
            </w:r>
          </w:p>
        </w:tc>
        <w:tc>
          <w:tcPr>
            <w:tcW w:w="121"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pPr>
            <w:r>
              <w:rPr/>
              <w:t>Investor Relations</w:t>
            </w:r>
          </w:p>
        </w:tc>
      </w:tr>
      <w:tr>
        <w:trPr/>
        <w:tc>
          <w:tcPr>
            <w:tcW w:w="5201" w:type="dxa"/>
            <w:tcBorders/>
          </w:tcPr>
          <w:p>
            <w:pPr>
              <w:pStyle w:val="TableContents"/>
              <w:bidi w:val="0"/>
              <w:spacing w:before="0" w:after="283"/>
              <w:jc w:val="left"/>
              <w:rPr/>
            </w:pPr>
            <w:r>
              <w:rPr/>
              <w:t>Akamai Technologies</w:t>
            </w:r>
          </w:p>
        </w:tc>
        <w:tc>
          <w:tcPr>
            <w:tcW w:w="121"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pPr>
            <w:r>
              <w:rPr/>
              <w:t>Akamai Technologies</w:t>
            </w:r>
          </w:p>
        </w:tc>
      </w:tr>
      <w:tr>
        <w:trPr/>
        <w:tc>
          <w:tcPr>
            <w:tcW w:w="5201" w:type="dxa"/>
            <w:tcBorders/>
          </w:tcPr>
          <w:p>
            <w:pPr>
              <w:pStyle w:val="TableContents"/>
              <w:bidi w:val="0"/>
              <w:spacing w:before="0" w:after="283"/>
              <w:jc w:val="left"/>
              <w:rPr/>
            </w:pPr>
            <w:r>
              <w:rPr/>
              <w:t>AkamaiPR@akamai.com</w:t>
            </w:r>
          </w:p>
        </w:tc>
        <w:tc>
          <w:tcPr>
            <w:tcW w:w="121" w:type="dxa"/>
            <w:tcBorders/>
            <w:vAlign w:val="bottom"/>
          </w:tcPr>
          <w:p>
            <w:pPr>
              <w:pStyle w:val="TableContents"/>
              <w:bidi w:val="0"/>
              <w:spacing w:before="0" w:after="283"/>
              <w:jc w:val="left"/>
              <w:rPr/>
            </w:pPr>
            <w:r>
              <w:rPr/>
              <w:t>  </w:t>
            </w:r>
          </w:p>
        </w:tc>
        <w:tc>
          <w:tcPr>
            <w:tcW w:w="4883" w:type="dxa"/>
            <w:tcBorders/>
          </w:tcPr>
          <w:p>
            <w:pPr>
              <w:pStyle w:val="TableContents"/>
              <w:bidi w:val="0"/>
              <w:spacing w:before="0" w:after="283"/>
              <w:jc w:val="left"/>
              <w:rPr/>
            </w:pPr>
            <w:r>
              <w:rPr/>
              <w:t>mstouten@akamai.com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3981</Words>
  <Characters>21463</Characters>
  <CharactersWithSpaces>25437</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