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145921.xml.htm"/>
      <w:bookmarkStart w:id="1" w:name="kswkform4_178414592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Joseph Paul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AKAMAI TECHNOLOGIES,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145 BROADWAY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02142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AKAMAI TECHNOLOGIES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AKAM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- Global Sales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2"/>
        <w:gridCol w:w="902"/>
        <w:gridCol w:w="771"/>
        <w:gridCol w:w="599"/>
        <w:gridCol w:w="347"/>
        <w:gridCol w:w="842"/>
        <w:gridCol w:w="452"/>
        <w:gridCol w:w="838"/>
        <w:gridCol w:w="1190"/>
        <w:gridCol w:w="993"/>
        <w:gridCol w:w="91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3,100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126.77</w:t>
            </w:r>
            <w:r>
              <w:rPr/>
              <w:t xml:space="preserve"> </w:t>
            </w:r>
          </w:p>
        </w:tc>
        <w:tc>
          <w:tcPr>
            <w:tcW w:w="11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31,572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193.582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Sale was made pursuant to a Rule 10b5-1 trading plan adopted by the Reporting Person on March 4,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As of July 14,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Thomas M. Lair, as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45574" TargetMode="External"/><Relationship Id="rId5" Type="http://schemas.openxmlformats.org/officeDocument/2006/relationships/hyperlink" Target="http://www.sec.gov/cgi-bin/browse-edgar?action=getcompany&amp;CIK=000108622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601</Words>
  <Characters>3215</Characters>
  <CharactersWithSpaces>3751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