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AKAMAI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000-27275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04-3432319</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145 Broadway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443" w:right="43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444-3000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AKAM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Offering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22, 2026, Akamai Technologies, Inc. (“Akamai”) completed its previously announced offering of 0.00% Convertible Senior Notes due 2030 (the “2030 Notes”) and 0.00% Convertible Senior Notes due 2032 (the “2032 Notes” and, together with the 2030 Notes, the “Notes”). The Notes were sold in a private placement under a purchase agreement, dated as of May 19, 2026, entered into by and between Akamai and each of J.P. Morgan Securities LLC, Citigroup Global Markets Inc., Morgan Stanley &amp; Co. LLC, BofA Securities, Inc. and Goldman Sachs &amp; Co. LLC as representatives of the several initial purchasers named therein (collectively, the “Initial Purchasers”), for resale to persons reasonably believed to qualified institutional buyers pursuant to Rule 144A under the Securities Act of 1933, as amended (the “Securities Act”).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aggregate principal amount of the 2030 Notes sold in the offering was $1.75 billion, which includes $250.0 million in aggregate principal amount of 2030 Notes issued pursuant to the Initial Purchaser’s option to purchase additional 2030 Notes on the same terms and conditions, which the Initial Purchasers exercised in full on May 20, 2026, and the aggregate principal amount of the 2032 Notes sold in the offering was $1.75 billion, which includes $250.0 million in aggregate principal amount of 2032 Notes issued pursuant to the Initial Purchaser’s option to purchase additional 2032 Notes on the same terms and conditions, which the Initial Purchasers exercised in full on May 20, 2026.</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Akamai used $236.6 million of the net proceeds from the offering of the Notes to pay the cost of the privately-negotiated convertible note hedge transactions described below (after such cost was partially offset by the proceeds to Akamai from the sale of warrants pursuant to the warrant transactions described below) and used approximately $350.0 million of the net proceeds from the offering of the Notes to repurchase 2,476,298 shares of Akamai’s common stock, as described below in Item 8.01.</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Akamai intends to use the remaining net proceeds from the offering of the Notes to fund the accelerated capital expenditure requirements of the Cloud Infrastructure Services (CIS) business, prioritizing the rapid build-out of Akamai’s global footprint, and for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Indentures and the Notes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May 22, 2026, Akamai entered into an indenture (the “2030 Notes Indenture”) with respect to the 2030 Notes with U.S. Bank Trust Company, National Association, as trustee (the “Trustee”) and an indenture (the “2032 Notes Indenture” and, together with the 2030 Notes Indenture, the “Indentures”) with respect to the 2032 Notes with the Trustee. Under the Indentures, the Notes will be senior unsecured obligations of Akamai. The Notes will not bear regular interest, and the principal amount of the Notes will not accrete. Any special interest will be payable semiannually in arrears on May 15 and November 15 of each year, beginning on November 15, 2026 (if and to the extent special interest is then payable). The 2030 Notes will mature on May 15, 2030, and the 2032 Notes will mature on May 15, 2032, in each case, unless earlier converted or repurchased in accordance with their terms.</w:t>
      </w:r>
    </w:p>
    <w:p>
      <w:pPr>
        <w:spacing w:after="0" w:line="18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2030 Notes are convertible into shares of Akamai’s common stock at an initial conversion rate of 4.9650 shares per $1,000 principal amount of 2030 Notes (equivalent to an initial conversion price of approximately $201.41 per share of common stock), and the 2032 Notes are convertible into shares of Akamai’s common stock at an initial conversion rate of 5.2408 shares per $1,000 principal amount of 2032 Notes (equivalent to an initial conversion price of approximately $190.81 per share of common stock). The conversion rate for each series of Notes will be subject to adjustment in some events. The initial conversion price of the 2030 Notes represents a premium of approximately 42.5% and the initial conversion price of the 2032 Notes represents a premium of approximately 35.0%, in each case, to the $141.34 per share closing price of Akamai’s common stock on May 19, 2026.</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conversion of the Notes, Akamai will pay cash up to the aggregate principal amount of the Notes to be converted and pay or deliver, as the case may be, cash, shares of Akamai’s common stock, or a combination of cash and shares of Akamai’s common stock, at Akamai’s election, in respect of the remainder, if any, of Akamai’s conversion obligation in excess of the aggregate principal amount of the Notes being converted.</w:t>
      </w:r>
    </w:p>
    <w:p>
      <w:pPr>
        <w:sectPr>
          <w:pgSz w:w="11900" w:h="16838" w:orient="portrait"/>
          <w:cols w:equalWidth="0" w:num="1">
            <w:col w:w="11000"/>
          </w:cols>
          <w:pgMar w:left="440" w:top="293" w:right="45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the close of business on the business day immediately preceding January 15, 2030, the 2030 Notes will be convertible only upon the occurrence of certain events and will be convertible thereafter at any time prior to the close of business on the second scheduled trading day immediately preceding the maturity date of the 2030 Notes, and prior to the close of business on the business day immediately preceding January 15, 2032, the 2032 Notes will be convertible only upon the occurrence of certain events and will be convertible thereafter at any time prior to the close of business on the second scheduled trading day immediately preceding the maturity date of the 2032 Notes.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certain corporate events described in the Indentures occur prior to the maturity dates, the conversion rates will be increased for a holder who elects to convert its Notes in connection with such corporate event in certain circumstances.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Notes are not redeemable prior to maturity, and no sinking fund is provided for the Notes. If Akamai undergoes a “Fundamental Change,” as defined in the Indentures, subject to certain conditions and limited exceptions, holders may require Akamai to repurchase for cash all or any portion of their Notes. The fundamental change repurchase price will be equal to 100% of the principal amount of the Notes to be repurchased, plus any accrued and unpaid special interest to, but excluding, the fundamental change repurchase date.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Indenture contains customary terms and covenants, including that upon certain events of default that are occurring and continuing, either the Trustee or the holders of at least 25% in aggregate principal amount of the outstanding Notes of the applicable series may declare 100% of the principal of, and accrued and unpaid special interest, if any, on, all the Notes of such series to be due and payable.</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Indentures and the Notes is a summary only and is qualified in its entirety by reference to the 2030 Notes Indenture and 2032 Notes Indenture (and the Forms of Note included therein), which are attached hereto as Exhibit 4.1 and Exhibit 4.2, respectively,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Hedge Transactions and Warrant Transactions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19, 2026, in connection with the pricing of the Notes, Akamai entered into convertible note hedge transactions with one or more of the Initial Purchasers and/or their respective affiliates and other financial institutions (the “Option Counterparties”). Akamai also entered into warrant transactions with the Option Counterparties pursuant to which it sold warrants for the purchase of Akamai’s common stock. On May 20, 2026, in connection with the Initial Purchasers’ exercise of their option to purchase additional Notes, Akamai entered into additional convertible note hedge transactions and additional warrant transactions with the Option Counterparties.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convertible note hedge transactions are expected generally to reduce the potential dilution with respect to shares of Akamai’s common stock upon any conversion of the Notes and/or offset any cash payments Akamai is required to make in excess of the principal amount of any converted Notes, as the case may be. The warrant transactions could separately have a dilutive effect to the extent that the market price per share of Akamai’s common stock exceeds the relevant strike price of the warrants, unless Akamai elects, subject to certain conditions, to settle the warrants in cash.</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above description of the convertible note hedge transactions and the warrant transactions is a summary only and is qualified in its entirety by reference to the forms of the Call Option Transaction Confirmation and the Warrant Confirmation executed by Akamai and each Option Counterparty as of the dates specified above, forms of which are attached hereto as Exhibit 10.1 and 10.2, respectively, and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were sold to the Initial Purchasers in reliance on the exemption from the registration requirements provided by Section 4(a)(2) of the Securities Act for resale to persons reasonably believed to be qualified institutional buyers pursuant to Rule 144A of the Securities Act. Akamai does not intend to file a shelf registration</w:t>
      </w:r>
    </w:p>
    <w:p>
      <w:pPr>
        <w:sectPr>
          <w:pgSz w:w="11900" w:h="16838" w:orient="portrait"/>
          <w:cols w:equalWidth="0" w:num="1">
            <w:col w:w="11000"/>
          </w:cols>
          <w:pgMar w:left="440" w:top="297" w:right="459" w:bottom="1440" w:gutter="0" w:footer="0" w:header="0"/>
        </w:sectPr>
      </w:pPr>
    </w:p>
    <w:bookmarkStart w:id="3" w:name="page4"/>
    <w:bookmarkEnd w:id="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statement for the resale of the Notes or any common stock issuable upon conversion of the Notes. The warrants were sold to the Option Counterparties in reliance on the exemption from the registration requirements provided by Section 4(a)(2) of the Securities Act. Additional information pertaining to the Notes, the shares of Akamai’s common stock issuable upon conversion of the Notes and the warrants is contained in Item 1.01 of this report and is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Notes, Akamai used approximately $350.0 million of the net proceeds of such sale to repurchase 2,476,298 shares of its common stock from purchasers of Notes in privately negotiated transactions effected through one or more of the Initial Purchasers or their affiliates, as Akamai’s agent. The purchase price of the common stock repurchased in such transactions was equal to the closing price per share of Akamai’s common stock on the date of the pricing of the offering, which was $141.34 per share.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1180" w:right="20" w:hanging="644"/>
        <w:spacing w:after="0" w:line="282" w:lineRule="auto"/>
        <w:tabs>
          <w:tab w:leader="none" w:pos="6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Indenture (including form of Notes) with respect to Akamai’s 0.00% Convertible Senior Notes due May 15, 2030, dated as of May 22, 2026, between Akamai and U.S. Bank Trust Company, National Association, as trustee.</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6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Indenture (including form of Notes) with respect to Akamai’s 0.00% Convertible Senior Notes due May 15, 2032, dated as of May 22, 2026, between Akamai and U.S. Bank Trust Company, National Association, as trustee.</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Call Option Transaction Confirmation between Akamai and each Option Counterparty.</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Warrant Confirmation between Akamai and each Option Counterparty.</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880"/>
          </w:cols>
          <w:pgMar w:left="440" w:top="297"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S. Ahola</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Aaron S. Ahola</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22, 2026</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9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80" w:type="dxa"/>
            <w:vAlign w:val="bottom"/>
            <w:gridSpan w:val="2"/>
            <w:vMerge w:val="restart"/>
          </w:tcPr>
          <w:p>
            <w:pPr>
              <w:jc w:val="center"/>
              <w:ind w:right="4440"/>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80" w:type="dxa"/>
            <w:vAlign w:val="bottom"/>
            <w:gridSpan w:val="2"/>
          </w:tcPr>
          <w:p>
            <w:pPr>
              <w:jc w:val="center"/>
              <w:ind w:right="44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Special Interest and Defaulted Amounts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CUSIP Numbers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Satisfaction and Discharge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Special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Rule 144A Information Requirement and Annual Reports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w:t>
            </w:r>
          </w:p>
        </w:tc>
        <w:tc>
          <w:tcPr>
            <w:tcW w:w="85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Lists of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6</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5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 Interest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7</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Common Stock to Be Held in Trust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8</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w:t>
            </w:r>
            <w:r>
              <w:rPr>
                <w:rFonts w:ascii="Times New Roman" w:cs="Times New Roman" w:eastAsia="Times New Roman" w:hAnsi="Times New Roman"/>
                <w:sz w:val="18"/>
                <w:szCs w:val="18"/>
                <w:i w:val="1"/>
                <w:iCs w:val="1"/>
                <w:color w:val="auto"/>
              </w:rPr>
              <w:t>.   Action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Revocation of Consents; Future Holders Bound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9</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tc>
        <w:tc>
          <w:tcPr>
            <w:tcW w:w="4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Purpose of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Call of Meetings by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Call of Meetings by Company or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Qualifications for Voting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 Delay of Rights by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10</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tc>
        <w:tc>
          <w:tcPr>
            <w:tcW w:w="440" w:type="dxa"/>
            <w:vAlign w:val="bottom"/>
          </w:tcPr>
          <w:p>
            <w:pPr>
              <w:spacing w:after="0"/>
              <w:rPr>
                <w:sz w:val="20"/>
                <w:szCs w:val="20"/>
                <w:color w:val="auto"/>
              </w:rPr>
            </w:pPr>
          </w:p>
        </w:tc>
      </w:tr>
      <w:tr>
        <w:trPr>
          <w:trHeight w:val="41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11</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tc>
        <w:tc>
          <w:tcPr>
            <w:tcW w:w="440" w:type="dxa"/>
            <w:vAlign w:val="bottom"/>
          </w:tcPr>
          <w:p>
            <w:pPr>
              <w:spacing w:after="0"/>
              <w:rPr>
                <w:sz w:val="20"/>
                <w:szCs w:val="20"/>
                <w:color w:val="auto"/>
              </w:rPr>
            </w:pPr>
          </w:p>
        </w:tc>
      </w:tr>
      <w:tr>
        <w:trPr>
          <w:trHeight w:val="41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w:t>
            </w:r>
            <w:r>
              <w:rPr>
                <w:rFonts w:ascii="Times New Roman" w:cs="Times New Roman" w:eastAsia="Times New Roman" w:hAnsi="Times New Roman"/>
                <w:sz w:val="18"/>
                <w:szCs w:val="18"/>
                <w:i w:val="1"/>
                <w:iCs w:val="1"/>
                <w:color w:val="auto"/>
              </w:rPr>
              <w:t>.   Officer’s Certificate and Opinion of Counsel to Be Given to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12</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tc>
        <w:tc>
          <w:tcPr>
            <w:tcW w:w="440" w:type="dxa"/>
            <w:vAlign w:val="bottom"/>
          </w:tcPr>
          <w:p>
            <w:pPr>
              <w:spacing w:after="0"/>
              <w:rPr>
                <w:sz w:val="20"/>
                <w:szCs w:val="20"/>
                <w:color w:val="auto"/>
              </w:rPr>
            </w:pPr>
          </w:p>
        </w:tc>
      </w:tr>
      <w:tr>
        <w:trPr>
          <w:trHeight w:val="43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13</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14</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4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Conversion Privilege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of Conversion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8"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Adjustments of Prices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15</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30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16</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tc>
        <w:tc>
          <w:tcPr>
            <w:tcW w:w="1300" w:type="dxa"/>
            <w:vAlign w:val="bottom"/>
          </w:tcPr>
          <w:p>
            <w:pPr>
              <w:spacing w:after="0"/>
              <w:rPr>
                <w:sz w:val="20"/>
                <w:szCs w:val="20"/>
                <w:color w:val="auto"/>
              </w:rPr>
            </w:pP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No Optional Redemption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17</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1300" w:type="dxa"/>
            <w:vAlign w:val="bottom"/>
          </w:tcPr>
          <w:p>
            <w:pPr>
              <w:spacing w:after="0"/>
              <w:rPr>
                <w:sz w:val="20"/>
                <w:szCs w:val="20"/>
                <w:color w:val="auto"/>
              </w:rPr>
            </w:pPr>
          </w:p>
        </w:tc>
      </w:tr>
      <w:tr>
        <w:trPr>
          <w:trHeight w:val="41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Corporation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Authenticating Agent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 Electronic Signatures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Calculations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8"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p>
    <w:p>
      <w:pPr>
        <w:spacing w:after="0" w:line="256" w:lineRule="exact"/>
        <w:rPr>
          <w:sz w:val="20"/>
          <w:szCs w:val="20"/>
          <w:color w:val="auto"/>
        </w:rPr>
      </w:pPr>
    </w:p>
    <w:p>
      <w:pPr>
        <w:spacing w:after="0"/>
        <w:tabs>
          <w:tab w:leader="none" w:pos="1100" w:val="left"/>
          <w:tab w:leader="none" w:pos="107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Note</w:t>
      </w:r>
      <w:r>
        <w:rPr>
          <w:sz w:val="20"/>
          <w:szCs w:val="20"/>
          <w:color w:val="auto"/>
        </w:rPr>
        <w:tab/>
      </w:r>
      <w:r>
        <w:rPr>
          <w:rFonts w:ascii="Times New Roman" w:cs="Times New Roman" w:eastAsia="Times New Roman" w:hAnsi="Times New Roman"/>
          <w:sz w:val="17"/>
          <w:szCs w:val="17"/>
          <w:color w:val="auto"/>
        </w:rPr>
        <w:t>A-1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66" w:right="439" w:bottom="1440" w:gutter="0" w:footer="0" w:header="0"/>
        </w:sectPr>
      </w:pPr>
    </w:p>
    <w:bookmarkStart w:id="11" w:name="page12"/>
    <w:bookmarkEnd w:id="11"/>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May 22, 2026, between AKAMAI TECHNOLOGIES,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organized and existing under the laws of the United States of America,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$1,750,000,000, and in order to provide the terms and conditions upon which the Notes are to be authenticated, issued and delivered, the Company has duly authorized the execution and delivery of this Indenture;</w:t>
      </w:r>
    </w:p>
    <w:p>
      <w:pPr>
        <w:spacing w:after="0" w:line="176"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Unless the context otherwise requires, “or” is not inclusive and “including” means “including without limitation.” The terms defined in this Article include the plural as well as the singular.</w:t>
      </w:r>
    </w:p>
    <w:p>
      <w:pPr>
        <w:sectPr>
          <w:pgSz w:w="11900" w:h="16838" w:orient="portrait"/>
          <w:cols w:equalWidth="0" w:num="1">
            <w:col w:w="11000"/>
          </w:cols>
          <w:pgMar w:left="440" w:top="266" w:right="45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Person appointed by the Company to solicit bids for the Trading Price of the Notes in accordance with Section 14.01(b)(i). The Trustee shall initially act as the Bid Solicitation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excluding any debt securities convertible or exchangeable into such stock.</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shall have the meaning specified in Section 14.02(a)(ii).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162"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66" w:right="579" w:bottom="1440" w:gutter="0" w:footer="0" w:header="0"/>
        </w:sectPr>
      </w:pPr>
    </w:p>
    <w:bookmarkStart w:id="13" w:name="page14"/>
    <w:bookmarkEnd w:id="13"/>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$0.01 per share, at the date of this Indenture, subject to Section 14.07.</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 the Company’s Chief Executive Officer, Chief Financial Officer, President, Executive or Senior Vice President or any Vice President (whether or not designated by a number or numbers or word or words added before or after the title “Vice President”) and (b) any such other Officer designated in clause (a) of this definition or the Company’s Treasurer or Assistant Treasurer or Secretary or any Assistant Secretary, and delivered to the Trustee.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date,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its corporate trust business shall be administered, which office at the date hereof is located at U.S. Bank Trust Company, National Association, Global Corporate Trust and Agency, City Place I, 185 Asylum Street, 27th Floor, Hartford, Connecticut 06103, Attention: K. Mitchell (Akamai Technologies, Inc.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4" w:name="page15"/>
    <w:bookmarkEnd w:id="14"/>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20 consecutive Trading Days during the Observation Period, 5.0% of the product of (a) the Conversion Rate on such Trading Day and (b) the Daily VWAP on such Trading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Net Settlement Amount</w:t>
      </w:r>
      <w:r>
        <w:rPr>
          <w:rFonts w:ascii="Times New Roman" w:cs="Times New Roman" w:eastAsia="Times New Roman" w:hAnsi="Times New Roman"/>
          <w:sz w:val="18"/>
          <w:szCs w:val="18"/>
          <w:color w:val="auto"/>
        </w:rPr>
        <w:t>” means, for each of the 20 consecutive Trading Days during the relevant Observation Period:</w:t>
      </w:r>
    </w:p>
    <w:p>
      <w:pPr>
        <w:spacing w:after="0" w:line="121" w:lineRule="exact"/>
        <w:rPr>
          <w:sz w:val="20"/>
          <w:szCs w:val="20"/>
          <w:color w:val="auto"/>
        </w:rPr>
      </w:pPr>
    </w:p>
    <w:p>
      <w:pPr>
        <w:jc w:val="both"/>
        <w:ind w:left="440" w:right="120" w:firstLine="419"/>
        <w:spacing w:after="0" w:line="266"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does not elect a Cash Percentage or the Company elects (or is deemed to have elected) a Cash Percentage of 0% as set forth herein, a number of shares of Common Stock equal to (i) the difference between the Daily Conversion Value for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a Cash Percentage of 100% as set forth herein, cash in an amount equal to the difference between the Daily Conversion Value for such Trading Day and the Daily Measurement Value;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a Cash Percentage of less than 100% but greater than 0% as set forth herein, (i) cash in an amount equal to the product of (x) the difference between the Daily Conversion Value for such Trading Day and the Daily Measurement Value and (y) the Cash Percentage,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number of shares of Common Stock equal to the product of (x)(A) the difference between the Daily Conversion Value for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Daily VWAP for such Trading Day and (y)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Cash Percentage.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20 consecutive Trading Days during the relevant Observation Period, shall consist of:</w:t>
      </w:r>
    </w:p>
    <w:p>
      <w:pPr>
        <w:spacing w:after="0" w:line="229"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for such Trading Day;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Daily Conversion Value exceeds the Daily Measurement Value, the Daily Net Settlement Amount for such Trading Day.</w:t>
      </w:r>
    </w:p>
    <w:p>
      <w:pPr>
        <w:spacing w:after="0" w:line="2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20 consecutive Trading Days during the relevant Observation Period, the per share volume-weighted average price as displayed under the heading “Bloomberg VWAP” on Bloomberg page “AKAM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the Fundamental Change Repurchase Price, principal and Special Interest, if any) that are payable but have not been paid or duly provided for.</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shall mean the “Form of Assignment and Transfer” attached as Attachment 3 to the Form of Note attached hereto as Exhibit A.</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shall mean the “Form of Fundamental Change Repurchase Notice” attached as Attachment 2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shall mean the “Form of Note” attached hereto as Exhibit A.</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shall mean the “Form of Notice of Conversion” attached as Attachment 1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21" w:lineRule="exact"/>
        <w:rPr>
          <w:sz w:val="20"/>
          <w:szCs w:val="20"/>
          <w:color w:val="auto"/>
        </w:rPr>
      </w:pPr>
    </w:p>
    <w:p>
      <w:pPr>
        <w:jc w:val="both"/>
        <w:ind w:left="440" w:right="80" w:firstLine="419"/>
        <w:spacing w:after="0" w:line="281" w:lineRule="auto"/>
        <w:tabs>
          <w:tab w:leader="none" w:pos="11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“group” within the meaning of Section 13(d) of the Exchange Act, other than the Company, its wholly owned Subsidiaries and the employee benefit plans of the Company and its wholly owned Subsidiaries, files a Schedule TO or any schedule, form or report under the Exchange Act disclosing that such person or group has become the direct or indirect “beneficial owner,” as defined in Rule 13d-3 under the Exchange Act, of the Company’s Common Equity representing more than 50% of the voting power of the Company’s Common Equity;</w:t>
      </w:r>
    </w:p>
    <w:p>
      <w:pPr>
        <w:spacing w:after="0" w:line="56" w:lineRule="exact"/>
        <w:rPr>
          <w:rFonts w:ascii="Times New Roman" w:cs="Times New Roman" w:eastAsia="Times New Roman" w:hAnsi="Times New Roman"/>
          <w:sz w:val="17"/>
          <w:szCs w:val="17"/>
          <w:color w:val="auto"/>
        </w:rPr>
      </w:pPr>
    </w:p>
    <w:p>
      <w:pPr>
        <w:ind w:left="440" w:right="20" w:firstLine="419"/>
        <w:spacing w:after="0" w:line="253"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recapitalization, reclassification or change of the Common Stock (other than changes resulting from a subdivision, combination or change in par value) as a result of which the Common Stock would be converted into, or exchanged for, stock, other securities, other property or assets; (ii) any share exchange, consolidation or merger of the Company pursuant to which the Common Stock will be converted into cash, securities or other property or assets; or (iii) any sale, lease or other transfer in one transaction or a series of related transactions of all or substantially all of the consolidated assets of the Company and its Subsidiaries, taken as a whole, to any Person other than one or more of the Company’s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(A) a transaction described in clause (i) or (ii)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nor (B) any merger or consolidation of the Company solely for the purpose of changing the Company’s jurisdiction of incorporation that results in a reclassification, conversion or exchange of outstanding shares of Common Stock solely into shares of common stock of the surviving entity, shall be a Fundamental Change pursuant to this clause (b);</w:t>
      </w:r>
    </w:p>
    <w:p>
      <w:pPr>
        <w:spacing w:after="0" w:line="8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17"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7" w:name="page18"/>
    <w:bookmarkEnd w:id="17"/>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transaction that constitutes a Fundamental Change pursuant to both clause (a) and clause (b) above shall be deemed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solely under clause (b) above;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 least 90% of the consideration received or to be received by the common stockholders of the Company, excluding cash payments for fractional shares or pursuant to statutory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appraisal rights (subject to the provisions of Section 14.02).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immediately preceding sentence, following the effective date of such transaction), references to the Company in this definition shall instead be references to such other entity.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or sent via overnight courier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shall mean any Person in whose name at the time a particular Note is registered on the Note Register.</w:t>
      </w:r>
    </w:p>
    <w:p>
      <w:pPr>
        <w:spacing w:after="0" w:line="155" w:lineRule="exact"/>
        <w:rPr>
          <w:sz w:val="20"/>
          <w:szCs w:val="20"/>
          <w:color w:val="auto"/>
        </w:rPr>
      </w:pPr>
    </w:p>
    <w:p>
      <w:pPr>
        <w:jc w:val="center"/>
        <w:ind w:left="620" w:right="26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 7</w:t>
      </w:r>
    </w:p>
    <w:p>
      <w:pPr>
        <w:sectPr>
          <w:pgSz w:w="11900" w:h="16838" w:orient="portrait"/>
          <w:cols w:equalWidth="0" w:num="1">
            <w:col w:w="10980"/>
          </w:cols>
          <w:pgMar w:left="440" w:top="268" w:right="479" w:bottom="1440" w:gutter="0" w:footer="0" w:header="0"/>
        </w:sectPr>
      </w:pPr>
    </w:p>
    <w:bookmarkStart w:id="18" w:name="page19"/>
    <w:bookmarkEnd w:id="1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in the over-the-counter market on the relevant date as reported by OTC Markets Group Inc. or a similar organization. If the Common Stock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Stock on the relevant date from each of at least three nationally recognized independent investment banking firms selected by the Company for this purpose.</w:t>
      </w:r>
    </w:p>
    <w:p>
      <w:pPr>
        <w:spacing w:after="0" w:line="18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above and determined after giving effect to any exceptions to or exclusions from such definition, but without regard to subclause (A) of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 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May 15, 2030.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Conversion Rate</w:t>
      </w:r>
      <w:r>
        <w:rPr>
          <w:rFonts w:ascii="Times New Roman" w:cs="Times New Roman" w:eastAsia="Times New Roman" w:hAnsi="Times New Roman"/>
          <w:sz w:val="18"/>
          <w:szCs w:val="18"/>
          <w:color w:val="auto"/>
        </w:rPr>
        <w:t>” shall have the meaning specified in Section 14.03(e).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9" w:name="page20"/>
    <w:bookmarkEnd w:id="19"/>
    <w:p>
      <w:pPr>
        <w:ind w:left="4" w:right="8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Observation Period</w:t>
      </w:r>
      <w:r>
        <w:rPr>
          <w:rFonts w:ascii="Times New Roman" w:cs="Times New Roman" w:eastAsia="Times New Roman" w:hAnsi="Times New Roman"/>
          <w:sz w:val="17"/>
          <w:szCs w:val="17"/>
          <w:color w:val="auto"/>
        </w:rPr>
        <w:t>” with respect to any Note surrendered for conversion means: (i) if the relevant Conversion Date occurs prior to January 15, 2030, the 20 consecutive Trading Day period beginning on, and including, the second Trading Day immediately succeeding such Conversion Date; and</w:t>
      </w:r>
    </w:p>
    <w:p>
      <w:pPr>
        <w:spacing w:after="0" w:line="1" w:lineRule="exact"/>
        <w:rPr>
          <w:sz w:val="20"/>
          <w:szCs w:val="20"/>
          <w:color w:val="auto"/>
        </w:rPr>
      </w:pPr>
    </w:p>
    <w:p>
      <w:pPr>
        <w:ind w:left="4" w:right="160" w:hanging="4"/>
        <w:spacing w:after="0" w:line="255"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relevant Conversion Date occurs during the period from, and including, January 15, 2030 to the close of business on the second Scheduled Trading Day immediately preceding the Maturity Date, the 20 consecutive Trading Days beginning on, and including, the 21st Scheduled Trading Day immediately preceding the Maturity Date.</w:t>
      </w:r>
    </w:p>
    <w:p>
      <w:pPr>
        <w:spacing w:after="0" w:line="182"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May 18, 2026, as supplemented by the related pricing term sheet dated May 19, 2026, relating to the offering and sale of the Notes.</w:t>
      </w:r>
    </w:p>
    <w:p>
      <w:pPr>
        <w:spacing w:after="0" w:line="15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President, the Chief Executive Officer, the Chief Financial Officer, the Chief Accounting Officer, the Treasurer, the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that is delivered to the Trustee, which opinion may contain customary exceptions and qualifications as to the matters set forth therein and which legal counsel may, in providing such opinion, rely upon certifications or other representations as to matters of fact. Each such opinion shall include the statements provided for in Section 17.05 if and to the extent required by the provisions of such Section 17.05.</w:t>
      </w:r>
    </w:p>
    <w:p>
      <w:pPr>
        <w:spacing w:after="0" w:line="179"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1" w:lineRule="exact"/>
        <w:rPr>
          <w:sz w:val="20"/>
          <w:szCs w:val="20"/>
          <w:color w:val="auto"/>
        </w:rPr>
      </w:pPr>
    </w:p>
    <w:p>
      <w:pPr>
        <w:ind w:left="1104" w:hanging="241"/>
        <w:spacing w:after="0"/>
        <w:tabs>
          <w:tab w:leader="none" w:pos="11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0" w:name="page21"/>
    <w:bookmarkEnd w:id="20"/>
    <w:p>
      <w:pPr>
        <w:ind w:left="440" w:firstLine="419"/>
        <w:spacing w:after="0" w:line="266"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canceled pursuant to Section 2.08;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the penultimate sentence of Section 2.10.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 multiples of $1,000 in excess thereof.</w:t>
      </w:r>
    </w:p>
    <w:p>
      <w:pPr>
        <w:spacing w:after="0" w:line="155" w:lineRule="exact"/>
        <w:rPr>
          <w:sz w:val="20"/>
          <w:szCs w:val="20"/>
          <w:color w:val="auto"/>
        </w:rPr>
      </w:pPr>
    </w:p>
    <w:p>
      <w:pPr>
        <w:ind w:right="3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who shall have direct responsibility for the administration of this Indenture and also means any other officer of the Trustee to whom any corporate trust matter with respect to this Indenture is referred because of such person’s knowledge of and familiarity with the particular subject.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21" w:name="page22"/>
    <w:bookmarkEnd w:id="21"/>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shall have the meaning specified in Section 14.02(a)(ii).</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 of Regulation S-X under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Payment Date</w:t>
      </w:r>
      <w:r>
        <w:rPr>
          <w:rFonts w:ascii="Times New Roman" w:cs="Times New Roman" w:eastAsia="Times New Roman" w:hAnsi="Times New Roman"/>
          <w:sz w:val="18"/>
          <w:szCs w:val="18"/>
          <w:color w:val="auto"/>
        </w:rPr>
        <w:t>” means, if and to the extent that Special Interest is payable on the Notes, each May 15 and November 15 of each year, beginning on November 15, 2026.</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Record Date</w:t>
      </w:r>
      <w:r>
        <w:rPr>
          <w:rFonts w:ascii="Times New Roman" w:cs="Times New Roman" w:eastAsia="Times New Roman" w:hAnsi="Times New Roman"/>
          <w:sz w:val="18"/>
          <w:szCs w:val="18"/>
          <w:color w:val="auto"/>
        </w:rPr>
        <w:t>” means, with respect to any Special Interest Payment Date, the May 1 or November 1 (whether or not such day is a Business Day) immediately preceding the applicable May 15 or November 15 Special Interest Payment Date, respectively.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2" w:name="page23"/>
    <w:bookmarkEnd w:id="2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except for purposes of determining amounts due upon conversion of any Note,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 and (b) for purposes of determining amounts due upon conversion of any Note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90"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Price</w:t>
      </w:r>
      <w:r>
        <w:rPr>
          <w:rFonts w:ascii="Times New Roman" w:cs="Times New Roman" w:eastAsia="Times New Roman" w:hAnsi="Times New Roman"/>
          <w:sz w:val="17"/>
          <w:szCs w:val="17"/>
          <w:color w:val="auto"/>
        </w:rPr>
        <w:t xml:space="preserve">” per $1,000 principal amount of Notes on any date of determination means the average of the secondary market bid quotations obtained by the Bid Solicitation Agent for $2,000,000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$2,000,000 principal amount of Notes from a nationally recognized securities dealer, then the Trading Price per $1,000 principal amount of Notes shall be deemed to be less than 98% of the product of the Last Reported Sale Price of the Common Stock and the Conversion Rate.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All references to interest on, or in respect of, any Note in this Indenture shall be deemed to refer solely to Special Interest (if, in such context, Special Interest is, was or would be payable pursuant to any of Section 4.06(d), Section 4.06(e) or Section 6.03) and/or to any interest payable on any Defaulted Amounts as set forth in Section 2.03(c), and, as context requires, references to Special Interest on, or in respect of, any Note in this Indenture shall be deemed to include interest payable on Defaulted Amounts as set forth in Section 2.03(c) if such interest was or would be payable at such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“0.00% Convertible Senior Notes due 2030.” The aggregate principal amount of Notes that may be authenticated and delivered under this Indenture is initially limited to $1,750,000,000, subject to Section 2.10 and except for Notes authenticated and delivered upon registration or transfer of, or in exchange for, or in lieu of other Notes pursuant to Section 2.05, Section 2.06, Section 2.07, Section 10.04, Section 14.02 and Section 15.04.</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24" w:name="page25"/>
    <w:bookmarkEnd w:id="24"/>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Company or the Holder of such Notes in accordance with this Indenture. Payment of principal (including the Fundamental Change Repurchase Price, if applicable) of, and any accrued and unpaid Special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Special Interest and Defaulted Amounts.</w:t>
      </w:r>
      <w:r>
        <w:rPr>
          <w:rFonts w:ascii="Times New Roman" w:cs="Times New Roman" w:eastAsia="Times New Roman" w:hAnsi="Times New Roman"/>
          <w:sz w:val="18"/>
          <w:szCs w:val="18"/>
          <w:color w:val="auto"/>
        </w:rPr>
        <w:t xml:space="preserve"> (a) The Notes shall be issuable in registered form without coupons in minimum denominations of $1,000 principal amount and multiples of $1,000 in excess thereof. Each Note shall be dated the date of its authentication and shall not bear regular interest, and the principal amount of the Notes shall not accrete. Special Interest on the Notes, if any, shall be computed on the basis of a 360-day year composed of twelve 30-day months and, for partial months, on the basis of actual days elapsed over a 30-day month.</w:t>
      </w:r>
    </w:p>
    <w:p>
      <w:pPr>
        <w:spacing w:after="0" w:line="185" w:lineRule="exact"/>
        <w:rPr>
          <w:sz w:val="20"/>
          <w:szCs w:val="20"/>
          <w:color w:val="auto"/>
        </w:rPr>
      </w:pPr>
    </w:p>
    <w:p>
      <w:pPr>
        <w:ind w:firstLine="436"/>
        <w:spacing w:after="0" w:line="253"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(x) in the case of any Physical Note, shall be payable at the office or agency of the Company maintained by the Company for such purposes in the United States of America, which shall initially be the Corporate Trust Office of the Trustee located in the United States of America, or any other office or agency located in the United States of America so designated by the Trustee and (y) in the case of any Global Note, shall be payable by wire transfer of immediately available funds to the account of the Depositary or its nominee. The Company shall pay Special Interest, if any,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application by such a Holder to the Note Registrar not later than the relevant Special Interest Record Date, by wire transfer in immediately available funds to that Holder’s account within the United States if such Holder has provided the Company, the Trustee and the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5" w:name="page26"/>
    <w:bookmarkEnd w:id="25"/>
    <w:p>
      <w:pPr>
        <w:ind w:firstLine="436"/>
        <w:spacing w:after="0" w:line="258"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Defaulted Amounts shall forthwith cease to be payable to the Holder on the relevant payment date and shall not accrue interest unless Special Interest was payable pursuant to this Indenture on the relevant payment date, in which case such Defaulted Amounts shall accrue interest, to the extent permitted by applicable law, per annum at the then-applicable Special Interest rate borne by the Notes, from, and including, such relevant payment date, and such Defaulted Amounts together with any such interest thereon shall be paid by the Company, at its election in each case, as provided in clause (i) or (ii) below:</w:t>
      </w:r>
    </w:p>
    <w:p>
      <w:pPr>
        <w:spacing w:after="0" w:line="75"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86"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8" w:lineRule="exact"/>
        <w:rPr>
          <w:sz w:val="20"/>
          <w:szCs w:val="20"/>
          <w:color w:val="auto"/>
        </w:rPr>
      </w:pPr>
    </w:p>
    <w:p>
      <w:pPr>
        <w:jc w:val="both"/>
        <w:ind w:right="440" w:firstLine="440"/>
        <w:spacing w:after="0" w:line="267"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other electronic signature of its Chief Executive Officer, President, Chief Financial Officer, Treasurer, Secretary or any of its Executive or Senior Vice Presidents.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26" w:name="page27"/>
    <w:bookmarkEnd w:id="2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other than delivery of an Officer’s Certificate pursuant to Section 17.05.</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r>
        <w:rPr>
          <w:rFonts w:ascii="Times New Roman" w:cs="Times New Roman" w:eastAsia="Times New Roman" w:hAnsi="Times New Roman"/>
          <w:sz w:val="18"/>
          <w:szCs w:val="18"/>
          <w:color w:val="auto"/>
        </w:rPr>
        <w:t xml:space="preserve"> (a) 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1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7" w:name="page28"/>
    <w:bookmarkEnd w:id="27"/>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unless and until the Holder thereof has validly withdrawn the relevant repurchase notice in accordance with Article 15.</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right="100" w:firstLine="436"/>
        <w:spacing w:after="0" w:line="25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those contained in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effective under the Securities Act and that was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60" w:firstLine="419"/>
        <w:spacing w:after="0" w:line="266"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right="240" w:firstLine="419"/>
        <w:spacing w:after="0" w:line="259"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984" w:right="220" w:firstLine="408"/>
        <w:spacing w:after="0" w:line="282" w:lineRule="auto"/>
        <w:tabs>
          <w:tab w:leader="none" w:pos="16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4" w:right="160" w:firstLine="408"/>
        <w:spacing w:after="0" w:line="282"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such restrictions on transfer shall have expired in accordance with their terms for exchange,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88"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w:t>
      </w:r>
    </w:p>
    <w:p>
      <w:pPr>
        <w:spacing w:after="0" w:line="2" w:lineRule="exact"/>
        <w:rPr>
          <w:sz w:val="20"/>
          <w:szCs w:val="20"/>
          <w:color w:val="auto"/>
        </w:rPr>
      </w:pPr>
    </w:p>
    <w:p>
      <w:pPr>
        <w:ind w:left="4" w:right="120" w:hanging="4"/>
        <w:spacing w:after="0" w:line="255"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30" w:name="page31"/>
    <w:bookmarkEnd w:id="30"/>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Only 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at the Company’s expense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at the Company’s expense such Physical Notes to the Persons in whose names such Physical Notes are so registered.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 w:name="page32"/>
    <w:bookmarkEnd w:id="31"/>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Company, the Paying Agent,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beneficial ownership interests of a Global Note or for maintaining, supervising or reviewing any records relating to such beneficial ownership interests.</w:t>
      </w:r>
    </w:p>
    <w:p>
      <w:pPr>
        <w:spacing w:after="0" w:line="180" w:lineRule="exact"/>
        <w:rPr>
          <w:sz w:val="20"/>
          <w:szCs w:val="20"/>
          <w:color w:val="auto"/>
        </w:rPr>
      </w:pPr>
    </w:p>
    <w:p>
      <w:pPr>
        <w:ind w:firstLine="436"/>
        <w:spacing w:after="0" w:line="255"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Common Stock issued upon conversion of such Note shall bear a legend in substantially the following form (unless such Common Stock has been transferred pursuant to a registration statement that has become effective under the Securities Act and that was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effective under the Securities Act and that was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8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67" w:lineRule="exact"/>
        <w:rPr>
          <w:sz w:val="20"/>
          <w:szCs w:val="20"/>
          <w:color w:val="auto"/>
        </w:rPr>
      </w:pPr>
    </w:p>
    <w:p>
      <w:pPr>
        <w:ind w:left="440" w:right="480" w:firstLine="419"/>
        <w:spacing w:after="0" w:line="26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firstLine="419"/>
        <w:spacing w:after="0" w:line="257"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78"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 w:name="page33"/>
    <w:bookmarkEnd w:id="32"/>
    <w:p>
      <w:pPr>
        <w:ind w:left="980" w:right="260" w:firstLine="408"/>
        <w:spacing w:after="0" w:line="282" w:lineRule="auto"/>
        <w:tabs>
          <w:tab w:leader="none" w:pos="16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0" w:lineRule="exact"/>
        <w:rPr>
          <w:sz w:val="20"/>
          <w:szCs w:val="20"/>
          <w:color w:val="auto"/>
        </w:rPr>
      </w:pPr>
    </w:p>
    <w:p>
      <w:pPr>
        <w:ind w:firstLine="436"/>
        <w:spacing w:after="0" w:line="256"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Common Stock issued upon the conversion or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Except as provided for in Section 2.10, the Company shall cause any Note that is repurchased or owned by it to be surrendered to the Trustee for cancellation in accordance with Section 2.08.</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Neither the Trustee nor any agent shall have any responsibility or liability for any actions taken or not taken by the Depositary.</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4" w:name="page35"/>
    <w:bookmarkEnd w:id="34"/>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Except as provided for in Section 2.10, the Company shall cause all Notes surrendered for the purpose of payment at maturity, repurchase, registration of transfer or exchange or conversion, if surrendered to any of the Company’s agents, Subsidiaries or controlled Affiliates, to be surrendered to the Trustee for cancellation. All Notes delivered to the Trustee shall be canceled promptly by it, and no Notes shall be authenticated in exchange therefor except as expressly permitted by any of the provisions of this Indenture. The Trustee shall dispose of canceled Notes in accordance with its customary procedures and, after such disposition, shall deliver evidence of such disposition to the Company, at the Company’s written request in a Company Order.</w:t>
      </w:r>
    </w:p>
    <w:p>
      <w:pPr>
        <w:spacing w:after="0" w:line="18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Company and/or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2.01, reopen this Indenture and issue additional Notes hereunder with the same terms as the Notes initially issued hereunder (except for the issue date, the issue price and Special Interest, if any, accrued prior to the issue date of such additional Notes) in an unlimited aggregate principal amount;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such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35" w:name="page36"/>
    <w:bookmarkEnd w:id="3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applicable to the issuance of additional Notes, in addition to those required by Section 17.05. In addition, the Company may, to the extent permitted by law, and without the consent of the Holders, directly or indirectly (regardless of whether such Notes are surrendered to the Company), repurchase Notes in the open market or otherwise, whether by the Company or its Subsidiaries or through a privately negotiated transaction, through a private or public tender or exchange offer or through counterparties to private agreements, including by cash-settled swaps or other derivatives. The Company shall cause any Notes so repurchased (other than Notes repurchased pursuant to cash-settled swaps or other derivatives) to be surrendered to the Trustee for cancellation in accordance with Section 2.08.</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205" w:lineRule="exact"/>
        <w:rPr>
          <w:sz w:val="20"/>
          <w:szCs w:val="20"/>
          <w:color w:val="auto"/>
        </w:rPr>
      </w:pPr>
    </w:p>
    <w:p>
      <w:pPr>
        <w:ind w:left="4" w:right="240" w:firstLine="440"/>
        <w:spacing w:after="0" w:line="273"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w:t>
      </w:r>
    </w:p>
    <w:p>
      <w:pPr>
        <w:spacing w:after="0" w:line="1" w:lineRule="exact"/>
        <w:rPr>
          <w:sz w:val="20"/>
          <w:szCs w:val="20"/>
          <w:color w:val="auto"/>
        </w:rPr>
      </w:pPr>
    </w:p>
    <w:p>
      <w:pPr>
        <w:ind w:left="4" w:right="20" w:hanging="4"/>
        <w:spacing w:after="0" w:line="251"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on any Fundamental Change Repurchase Date, upon conversion or otherwise, cash or, solely to satisfy the Company’s Conversion Obligation, cash and, if applicable, shares of Common Stock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Special Interest.</w:t>
      </w:r>
      <w:r>
        <w:rPr>
          <w:rFonts w:ascii="Times New Roman" w:cs="Times New Roman" w:eastAsia="Times New Roman" w:hAnsi="Times New Roman"/>
          <w:sz w:val="18"/>
          <w:szCs w:val="18"/>
          <w:color w:val="auto"/>
        </w:rPr>
        <w:t xml:space="preserve"> The Company covenants and agrees that it will cause to be paid the principal (including the Fundamental Change Repurchase Price, if applicable) of, and accrued and unpaid Special Interest, if any, on, each of the Notes at the places, at the respective times and in the manner provided herein and in the Notes.</w:t>
      </w:r>
    </w:p>
    <w:p>
      <w:pPr>
        <w:spacing w:after="0" w:line="17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Company may, to the extent it is required to do so by law, deduct or withhold income or other similar taxes imposed by the United States of America from principal, premium or Special Interest, if any, payments hereunder.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r>
        <w:rPr>
          <w:rFonts w:ascii="Times New Roman" w:cs="Times New Roman" w:eastAsia="Times New Roman" w:hAnsi="Times New Roman"/>
          <w:sz w:val="18"/>
          <w:szCs w:val="18"/>
          <w:color w:val="auto"/>
        </w:rPr>
        <w:t xml:space="preserve"> The Company will maintain in the United States of America an office or agency where the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made.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give prompt written notice to the Trustee of the location, and any change in the location, of such office or agency. If at any time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fail to maintain any such required office or agency or shall fail to furnish the Trustee with the address thereof, such presentations, surrenders, notices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demands may be made at the Corporate Trust Office or the office or agency of the Trustee in the United States of America, or any other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of America so designated by the Trustee as a place where Notes may be presented for payment or for registration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 shall not be deemed an agent of the Company for service of legal process.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187"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67" w:lineRule="exact"/>
        <w:rPr>
          <w:sz w:val="20"/>
          <w:szCs w:val="20"/>
          <w:color w:val="auto"/>
        </w:rPr>
      </w:pPr>
    </w:p>
    <w:p>
      <w:pPr>
        <w:ind w:left="440" w:firstLine="419"/>
        <w:spacing w:after="0" w:line="282" w:lineRule="auto"/>
        <w:tabs>
          <w:tab w:leader="none" w:pos="10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Fundamental Change Repurchase Price, if applicable) of, and accrued and unpaid Special Interest, if any, on, the Notes in trust for the benefit of the Holders of the Notes;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Fundamental Change Repurchase Price, if applicable) of, and any accrued and unpaid Special Interest on, the Notes when the same shall be due and payable;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Fundamental Change Repurchase Price, if applicable) of, or accrued and unpaid Special Interest, if any, on, the Notes, deposit with the Paying Agent a sum sufficient to pay such principal (including the Fundamental Change Repurchase Price, if applicable) or such accrued and unpaid Special Interest, if any,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ind w:right="6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Fundamental Change Repurchase Price, if applicable) of, and accrued and unpaid Special Interest, if any, on, the Notes, set aside, segregate and hold in trust for the benefit of the Holders of the Notes a sum sufficient to pay such principal (including the Fundamental Change Repurchase Price, if applicable) and any such accrued and unpaid Special Interest so becoming due and will promptly notify the Trustee in writing of any failure to take such action and of any failure by the Company to make any payment of the principal (including the Fundamental Change Repurchase Price, if applicable) of, or accrued and unpaid Special Interest, if any, on, the Notes when the same shall become due and payable.</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38" w:name="page39"/>
    <w:bookmarkEnd w:id="38"/>
    <w:p>
      <w:pPr>
        <w:ind w:right="40" w:firstLine="436"/>
        <w:spacing w:after="0" w:line="254"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applicable abandoned property laws, any money and shares of Common Stock deposited with the Trustee, the Conversion Agent or any Paying Agent, or then held by the Company, in trust for the payment of the principal (including the Fundamental Change Repurchase Price, if applicable) of, any accrued and unpaid Special Interest on and the consideration due upon conversion of any Note and remaining unclaimed for two years after such principal (including the Fundamental Change Repurchase Price, if applicable), any such Special Interest or such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specified in Section 6.01(i) or Section 6.01(j), the Trustee shall automatically be the Paying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84" w:lineRule="exact"/>
        <w:rPr>
          <w:sz w:val="20"/>
          <w:szCs w:val="20"/>
          <w:color w:val="auto"/>
        </w:rPr>
      </w:pPr>
    </w:p>
    <w:p>
      <w:pPr>
        <w:ind w:firstLine="436"/>
        <w:spacing w:after="0" w:line="25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copies of any documents or reports that the Company is required to file with the Commission pursuant to Section 13(a) or 15(d) of the Exchange Act (excluding any such information, documents or reports, or portions thereof, subject to confidential treatment and any correspondence with the Commission) within 15 days after the same are required to be filed with the Commission (giving effect to all grace periods thereunder). Any such document or report that the Company files with the Commission via EDGAR (or any successor thereto) shall be deemed to be filed with the Trustee for purposes of this Section 4.06(b) at the time such documents or reports are filed via EDGAR (or such successor), it being understood that the Trustee shall not be responsible for determining whether such filings have been made. The “grace periods” referred to in this Section 4.06(b) with respect to any documents or reports shall include the maximum period afforded by Rule 12b-25 (or any successor rule thereto) under the Exchange Act regardless of whether the Company indicates in the related Form 12b-25 (or any successor form thereto) that the Company expects to or shall file such document or report before the expiration of such maximum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left="-20" w:right="40" w:firstLine="436"/>
        <w:spacing w:after="0" w:line="261"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the reports, information and documents described in Section 4.06(b)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79"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have been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 not include documents or reports that the Company furnishes to the Commission pursuant to Section 13 or 15(d) of the Exchange Act. The “grace periods” referred to in this Section 4.06(d) with respect to any document or report shall include the maximum period afforded by Rule 12b-25 (or any successor rule thereto) under the Exchange Act regardless of whether the Company indicates in the related Form 12b-25 (or any successor form thereto) that the Company expects to or shall file such document or report before the expiration of such maximum period.</w:t>
      </w:r>
    </w:p>
    <w:p>
      <w:pPr>
        <w:spacing w:after="0" w:line="197" w:lineRule="exact"/>
        <w:rPr>
          <w:rFonts w:ascii="Times New Roman" w:cs="Times New Roman" w:eastAsia="Times New Roman" w:hAnsi="Times New Roman"/>
          <w:sz w:val="18"/>
          <w:szCs w:val="18"/>
          <w:color w:val="auto"/>
        </w:rPr>
      </w:pPr>
    </w:p>
    <w:p>
      <w:pPr>
        <w:ind w:left="-20" w:right="80" w:firstLine="436"/>
        <w:spacing w:after="0" w:line="255"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restrictive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375th day after the last date of original issuance of the Notes, the Company shall pay Special Interest on the Notes at a rate equal to 0.50% per annum of the principal amount of Notes outstanding for each day from, and including, such 375th day until the restrictive legend on the Notes has been removed in accordance with Section 2.05(c), the Notes are assigned an unrestricted CUSIP and the Notes are freely tradable pursuant to Rule 144 by Holders other than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Special Interest shall accrue or be owed pursuant to this Section 4.06(e) until the fifth Business Day following written notification to the Company by the Trustee (acting at the direction of Holders) or any Holder or beneficial owner of the Notes requesting that the Company comply with its obligations under this Section 4.06(e) (which notification may be given at any time after the 330th day after the last date of original issuance of the Notes), it being understood and agreed that in no event shall Special Interest accrue or be owed pursuant to this Section 4.06(e) for any period prior to the 375th day after the last date of original issuance of the Notes. Such accrual of Special Interest shall be the exclusive remedy available to Holders for the Company’s failure to remove the restrictive legend on the Notes specified in Section 2.05(c), the Notes being assigned a restricted CUSIP number or the Notes not otherwise being freely tradable as described in this Section 4.06(e);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does not pay such Special Interest when due, the Notes shall be subject to acceleration as provided in Section 6.02.</w:t>
      </w:r>
    </w:p>
    <w:p>
      <w:pPr>
        <w:spacing w:after="0" w:line="194" w:lineRule="exact"/>
        <w:rPr>
          <w:sz w:val="20"/>
          <w:szCs w:val="20"/>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Interest will be payable in arrears on each Special Interest Payment Date following accrual as set forth in Section 2.03(b).</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Special Interest accrue under the terms of this Indenture (aggregating any Special Interest payable pursuant to Section 4.06(d) or Section 4.06(e) with any Special Interest payable pursuant to Section 6.03) at a rate in excess of 0.50% per annum, regardless of the number of events or circumstances giving rise to the requirement to pay such Special Interest.</w:t>
      </w:r>
    </w:p>
    <w:p>
      <w:pPr>
        <w:spacing w:after="0" w:line="175"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 The Trustee shall have no duty to verify the Company’s determination as to whether Special Interest is due or the Company’s calculations as to the amount of such Special Interest.</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Special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 w:name="page42"/>
    <w:bookmarkEnd w:id="41"/>
    <w:p>
      <w:pPr>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4.08</w:t>
      </w:r>
      <w:r>
        <w:rPr>
          <w:rFonts w:ascii="Times New Roman" w:cs="Times New Roman" w:eastAsia="Times New Roman" w:hAnsi="Times New Roman"/>
          <w:sz w:val="18"/>
          <w:szCs w:val="18"/>
          <w:i w:val="1"/>
          <w:iCs w:val="1"/>
          <w:color w:val="auto"/>
        </w:rPr>
        <w:t>. Compliance Certificate; Statements as to Defaults.</w:t>
      </w:r>
      <w:r>
        <w:rPr>
          <w:rFonts w:ascii="Times New Roman" w:cs="Times New Roman" w:eastAsia="Times New Roman" w:hAnsi="Times New Roman"/>
          <w:sz w:val="18"/>
          <w:szCs w:val="18"/>
          <w:color w:val="auto"/>
        </w:rPr>
        <w:t xml:space="preserve"> The Company shall deliver to the Trustee within 120 days after the end of each fiscal year of the Company (beginning with the fiscal year ending on December 31, 2026) an Officer’s Certificate stating whether the signers thereof have knowledge of any Default that has occurred and, if so, specifying each such Default and the nature thereof.</w:t>
      </w:r>
    </w:p>
    <w:p>
      <w:pPr>
        <w:spacing w:after="0" w:line="17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as soon as possible, and in any event within 30 days after the Company first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deliver such notice if such Event of Default or Default has been cured (or deemed cured) or waived prior to the date that such notice is due.</w:t>
      </w:r>
    </w:p>
    <w:p>
      <w:pPr>
        <w:spacing w:after="0" w:line="178" w:lineRule="exact"/>
        <w:rPr>
          <w:sz w:val="20"/>
          <w:szCs w:val="20"/>
          <w:color w:val="auto"/>
        </w:rPr>
      </w:pPr>
    </w:p>
    <w:p>
      <w:pPr>
        <w:ind w:left="4" w:right="200" w:firstLine="440"/>
        <w:spacing w:after="0" w:line="284"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3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Section 5.01</w:t>
      </w:r>
      <w:r>
        <w:rPr>
          <w:rFonts w:ascii="Times New Roman" w:cs="Times New Roman" w:eastAsia="Times New Roman" w:hAnsi="Times New Roman"/>
          <w:sz w:val="17"/>
          <w:szCs w:val="17"/>
          <w:i w:val="1"/>
          <w:iCs w:val="1"/>
          <w:color w:val="auto"/>
        </w:rPr>
        <w:t>. Lists of Holders.</w:t>
      </w:r>
      <w:r>
        <w:rPr>
          <w:rFonts w:ascii="Times New Roman" w:cs="Times New Roman" w:eastAsia="Times New Roman" w:hAnsi="Times New Roman"/>
          <w:sz w:val="17"/>
          <w:szCs w:val="17"/>
          <w:color w:val="auto"/>
        </w:rPr>
        <w:t xml:space="preserve"> The Company covenants and agrees that it will furnish or cause to be furnished to the Trustee or any Paying Agent,</w:t>
      </w:r>
    </w:p>
    <w:p>
      <w:pPr>
        <w:spacing w:after="0" w:line="41" w:lineRule="exact"/>
        <w:rPr>
          <w:sz w:val="20"/>
          <w:szCs w:val="20"/>
          <w:color w:val="auto"/>
        </w:rPr>
      </w:pPr>
    </w:p>
    <w:p>
      <w:pPr>
        <w:ind w:left="4" w:hanging="4"/>
        <w:spacing w:after="0" w:line="252"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at all such times when Special Interest is payable on the Notes, semi-annually, not more than 15 days prior to each May 15 and November 15 in each year beginning with November 15, 2026, and (ii)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8"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8" w:right="479" w:bottom="1440" w:gutter="0" w:footer="0" w:header="0"/>
        </w:sectPr>
      </w:pPr>
    </w:p>
    <w:bookmarkStart w:id="42" w:name="page43"/>
    <w:bookmarkEnd w:id="4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684" w:hanging="244"/>
        <w:spacing w:after="0"/>
        <w:tabs>
          <w:tab w:leader="none" w:pos="6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Special Interest on any Note when due and payable and the default continues for a period of 30 consecutive days;</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three Business Days;</w:t>
      </w:r>
    </w:p>
    <w:p>
      <w:pPr>
        <w:spacing w:after="0" w:line="161"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 a notice of a Make-Whole Fundamental Change in accordance with Section 14.03(b) or a notice in accordance with Section 14.01(b)(ii) or (iii), in each case when due, and such failure continues for a period of three Business Days;</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6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ind w:left="4" w:right="120" w:firstLine="436"/>
        <w:spacing w:after="0" w:line="272" w:lineRule="auto"/>
        <w:tabs>
          <w:tab w:leader="none" w:pos="69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the Company or any Significant Subsidiary with respect to any mortgage, agreement or other instrument under which there may be outstanding, or by which there may be secured or evidenced, any indebtedness for money borrowed in excess of $300,000,000 (or its foreign currency equivalent) in the aggregate of the Company and/or any Significant Subsidiary, whether such indebtedness now exists or shall hereafter be created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such indebtedness becoming or being declared due and payable prior to its scheduled maturity or (ii) constituting a failure to pay the principal or interest of any such debt when due and payable at its stated maturity, upon required repurchase, upon declaration of acceleration or otherwise (beyond any applicable grace or cure period, if any), if such default is not cured or waived, or such acceleration is not rescinded or annulled, or such indebtedness is not paid or discharged, as the case may be, within 30 days after written notice to the Company from the Trustee or the Holders of at least 25% in aggregate principal amount of Notes then outstanding, in accordance with this Indenture;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3" w:name="page44"/>
    <w:bookmarkEnd w:id="43"/>
    <w:p>
      <w:pPr>
        <w:jc w:val="both"/>
        <w:ind w:right="160" w:firstLine="436"/>
        <w:spacing w:after="0" w:line="261"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final judgment or judgments for the payment of $300,000,000 (or its foreign currency equivalent) or more (excluding any amounts covered by insurance) in the aggregate rendered against the Company or any Significant Subsidiary, which judgment is not discharged, satisfied, paid, waived, bonded or stayed within 60 days after (i) the date on which the right to appeal thereof has expired if no such appeal has commenced, or (ii) the date on which all rights to appeal have been extinguished;</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Significant Subsidiary or its debts under any bankruptcy, insolvency or other similar law now or hereafter in effect or seeking the appointment of a trustee, receiver, liquidator, custodian or other similar official of the Company or any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w:t>
      </w:r>
    </w:p>
    <w:p>
      <w:pPr>
        <w:spacing w:after="0" w:line="27"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8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Acceleration; Rescission and Annulment</w:t>
      </w:r>
      <w:r>
        <w:rPr>
          <w:rFonts w:ascii="Times New Roman" w:cs="Times New Roman" w:eastAsia="Times New Roman" w:hAnsi="Times New Roman"/>
          <w:sz w:val="17"/>
          <w:szCs w:val="17"/>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unless the principal of, and accrued and unpaid Special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Special Interest, if any, on, all the Notes to be due and payable immediately, and upon any such declaration the same shall become and shall automatically be immediately due and payable, anything in this Indenture or in the Notes contained to the contrary notwithstanding. For the avoidance of doubt, if such Event of Default is not continuing at the time such notice is provided (that is, such Event of Default has been cured or waived as of such time), then such notice shall not be effective to cause such amounts to become due and payable immediately. If an Event of Default specified in Section 6.01(i) or Section 6.01(j) with respect to the Company occurs and is continuing, 100% of the principal of, and accrued and unpaid Special Interest, if any, on, all Notes shall become and shall automatically be immediately due and payable.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4" w:name="page45"/>
    <w:bookmarkEnd w:id="4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Special Interest, if any, upon all Notes and the principal of any and all Notes that shall have become due otherwise than by acceleration (with interest on overdue installments of accrued and unpaid Special Interest, if any, and on such principal, at the then-applicable Special Interest rate borne by the Notes, if Special Interest was payable at such time, to the extent such interest is permitted by law)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any accrued and unpaid Special Interest on, any Notes, (ii) a failure to repurchase any Notes when required or (iii) a failure to pay and, if applicable, deliver the consideration due upon conversion of the Notes.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can be cured,</w:t>
      </w:r>
    </w:p>
    <w:p>
      <w:pPr>
        <w:spacing w:after="0" w:line="225"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consisting of a failure to send a notice in accordance with the terms of this Indenture shall be cured upon the sending of such notice;</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consisting of a failure to make any payment on (or deliver any other consideration in respect of) any Note shall be cured upon the delivery, in accordance with this Indenture, of such payment (or other consideration) together, if applicable, with Special Interest, if applicable, and interest payable pursuant to Section 2.03(c), if applicable, thereon; and</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that is (or, after notice, passage of time or both, would be) a Reporting Event of Default shall be cured upon the filing of the relevant document(s) or report(s) giving rise to such Default.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for the avoidance of doubt, if a Default that is not an Event of Default is cured or waived before such Default would have constituted an Event of Default, then no Event of Default shall result from such Default.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6.03. </w:t>
      </w:r>
      <w:r>
        <w:rPr>
          <w:rFonts w:ascii="Times New Roman" w:cs="Times New Roman" w:eastAsia="Times New Roman" w:hAnsi="Times New Roman"/>
          <w:sz w:val="18"/>
          <w:szCs w:val="18"/>
          <w:i w:val="1"/>
          <w:iCs w:val="1"/>
          <w:color w:val="auto"/>
        </w:rPr>
        <w:t>Special Interest</w:t>
      </w:r>
      <w:r>
        <w:rPr>
          <w:rFonts w:ascii="Times New Roman" w:cs="Times New Roman" w:eastAsia="Times New Roman" w:hAnsi="Times New Roman"/>
          <w:sz w:val="18"/>
          <w:szCs w:val="18"/>
          <w:color w:val="auto"/>
        </w:rPr>
        <w:t>. Notwithstanding anything in this Indenture or in the Notes to the contrary, to the extent the Company elects, the sole remedy for an Event of Default relating to the Company’s failure to comply with its obligations as set forth in Section 4.06(b) (any such 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for the first 360 days after the occurrence and during the continuance of such Reporting Event of Default (and, for the avoidance of doubt, giving effect to the 60-day period set forth in Section 6.01(f)), consist exclusively of the right to receive Special Interest on the Notes at a rate equal to (i) 0.25% per annum of the principal amount of the Notes outstanding for each day during the first 180 calendar days after the occurrence of such Reporting Event of Default during which such Reporting Event of Default is continuing (or, if earlier, the date on which such Reporting Event of Default is cured or waived as provided for in this Indenture) and (ii) 0.50% per annum of the principal amount of the Notes outstanding for each day from, and including, the 181st calendar day to, but excluding, the 360th calendar day after the occurrence of such Reporting Event of Default during which such Reporting Event of Default is continuing (or, if earlier, the date on which such Reporting Event of Default is cured or waived as provided for in this Indenture). If the Company elects to pay Special Interest, such Special Interest shall be payable as set forth in Section 2.03(b). On the 361st day after such Reporting Event of Default (if such Reporting Event of Default is not cured or waived prior to such 361st day), the Notes shall be immediately subject to acceleration as provided in Section 6.02. In the event the Company does not elect to pay Special Interest following a Reporting Event of Default in accordance with this Section 6.03 or the Company elected to make such payment but does not pay the Special Interest when due, the Notes shall be immediately subject to acceleration as provided in Section 6.02. For the avoidance of doubt, a Reporting Event of Default shall be deemed cured at such time as the Company files with the Trustee the applicable document(s) or report(s) that gave rise to such Reporting Event of Default (it being understood that any document or report that the Company files with the Commission via EDGAR (or any successor thereto) shall be deemed to be filed with the Trustee as of the time such document or report is so filed via EDGAR (or such successor)).</w:t>
      </w:r>
    </w:p>
    <w:p>
      <w:pPr>
        <w:spacing w:after="0" w:line="19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order to elect to pay Special Interest as the sole remedy during the first 360 days after the occurrence of any Reporting Event of Default, the Company must notify all Holders of the Notes, the Trustee and the Paying Agent of such election prior to the beginning of such 360-day period. Upon the failure to timely give such notice, the Notes shall be immediately subject to acceleration as provided in Section 6.02.</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no event shall Special Interest accrue under the terms of this Indenture (aggregating any Special Interest payable pursuant to this Section 6.03 with any Special Interest payable pursuant to Section 4.06(d) or Section 4.06(e)) at a rate in excess of 0.50% per annum, regardless of the number of events or circumstances giving rise to the requirement to pay such Special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6.03 shall not affect the rights of Holders in the event of the occurrence of any other Event of Default.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8" w:right="4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occurred, the Company shall, upon demand of the Trustee, pay to the Trustee, for the benefit of the Holders of the Notes, the whole amount then due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 the Notes for principal and Special Interest, if any (with no interest accruing on any overdue principal or Special Interest, if any,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was payable pursuant to this Indenture on the required payment date, in which case such overdue amounts shall accrue interest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at the then-applicable Special Interest rate borne by the Notes, subject to the enforceability thereof under applicable law, from and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required payment date), and, in addition thereto, such further amount as shall be sufficient to cover any amounts due to the Trustee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If the Company shall fail to pay such amounts forthwith upon such demand, the Trustee, in its own name and as trustee of an express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institute a judicial proceeding for the collection of the sums so due and unpaid, may prosecute such proceeding to judgment or final decree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the same against the Company or any other obligor upon the Notes and collect the moneys adjudged or decreed to be payable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law out of the property of the Company or any other obligor upon the Notes, wherever situated.</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Special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8" w:right="459" w:bottom="1440" w:gutter="0" w:footer="0" w:header="0"/>
        </w:sectPr>
      </w:pPr>
    </w:p>
    <w:bookmarkStart w:id="47" w:name="page48"/>
    <w:bookmarkEnd w:id="47"/>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each of its capacities hereunder) under this Indenture;</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any accrued and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Interest on, and any cash due upon conversion of, the Notes in default in the order of the date due of the payments of such interest and cash due upon conversion, as the case may be, with interest (to the extent that such interest is permitted by applicable law and has been collected by the Trustee) upon such overdue amounts at the rate of Special Interest then payable on such Notes, if any, such payments to be made ratably to the Persons entitled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8" w:name="page49"/>
    <w:bookmarkEnd w:id="48"/>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Fundamental Change Repurchase Price and any cash due upon conversion) then owing and unpaid upon the Notes for principal and accrued and unpaid Special Interest, if any, with interest (to the extent any Special Interest is then payable on the Notes) on the overdue principal and (to the extent that such interest is permitted by applicable law and has been collected by the Trustee) upon such overdue installments of interest at the rate of Special Interest borne by the Notes at such time, and in case such monies shall be insufficient to pay in full the whole amounts so due and unpaid upon the Notes, then to the payment of such principal (including, if applicable, the Fundamental Change Repurchase Price and the cash due upon conversion) and any accrued and unpaid Special Interest without preference or priority of principal over any accrued and unpaid Special Interest, or of any accrued and unpaid Special Interest over principal, or of any installment of accrued and unpaid Special Interest over any other installment of accrued and unpaid Special Interest, or of any Note over any other Note, ratably to the aggregate of such principal (including, if applicable, the Fundamental Change Repurchase Price and any cash due upon conversion) and any accrued and unpaid Special Interest; and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Fundamental Change Repurchase Price) or Special Interest, if any, when due, or the right to receive payment and, if applicable,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680" w:hanging="244"/>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previously shall have given to the Trustee written notice of an Event of Default and of the continuance thereof, as herein provided;</w:t>
      </w:r>
    </w:p>
    <w:p>
      <w:pPr>
        <w:spacing w:after="0" w:line="236"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shall have neglected or refused to institute any such action, suit or proceeding;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49" w:name="page50"/>
    <w:bookmarkEnd w:id="49"/>
    <w:p>
      <w:pPr>
        <w:ind w:firstLine="436"/>
        <w:spacing w:after="0" w:line="282"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whatsoever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0" w:name="page51"/>
    <w:bookmarkEnd w:id="50"/>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6.09</w:t>
      </w:r>
      <w:r>
        <w:rPr>
          <w:rFonts w:ascii="Times New Roman" w:cs="Times New Roman" w:eastAsia="Times New Roman" w:hAnsi="Times New Roman"/>
          <w:sz w:val="18"/>
          <w:szCs w:val="18"/>
          <w:i w:val="1"/>
          <w:iCs w:val="1"/>
          <w:color w:val="auto"/>
        </w:rPr>
        <w:t>. 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such direction shall not be in conflict with any rule of law or with this Indenture, and (b) the Trustee may take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deemed proper by the Trustee that is not inconsistent with such direction.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and including waivers obtained in connection with a repurchase of, or tender or exchange offer for, Notes) may on behalf of the Holders of all of the Notes waive any past Default or Event of Default hereunder and its consequences except (i) a default in the payment of accrued and unpaid interest, if any, on, or the principal (including the Fundamental Change Repurchase Price, if applicable) of, the Notes when due that has not been cured, (ii) a failure by the Company to pay and, if applicable, deliver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w:t>
      </w:r>
    </w:p>
    <w:p>
      <w:pPr>
        <w:spacing w:after="0" w:line="19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it receives written notice of the occurrence and continuance of a Default of which it has actual knowledge, send to all Holders as the names and addresses of such Holders appear upon the Note Register, notice of all such Defaults,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Fundamental Change Repurchase Price, if applicable), or any accrued and unpaid Special Interest on, any of the Notes or a Default in the payment and, if applicable, delivery of the consideration due upon conversion, the Trustee shall be protected in withholding such notice if and so long as it in good faith determines that the withholding of such notice is in the interests of the Holders.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w:t>
      </w:r>
    </w:p>
    <w:p>
      <w:pPr>
        <w:spacing w:after="0" w:line="1"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7"/>
          <w:szCs w:val="17"/>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51" w:name="page52"/>
    <w:bookmarkEnd w:id="5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8.04, or to any suit instituted by any Holder for the enforcement of the payment of the principal of (including, but not limited to, the Fundamental Change Repurchase Price, if applicable) or accrued and unpaid Special Interest, if any, on any Note on or after the due date expressed or provided for in such Note or to any suit for the enforcement of the right to convert any Note in accordance with the provisions of Article 14.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the Trustee indemnity or security satisfactory to the Trustee against any loss, liability or expense that might be incurred by it in compliance with such request or direction.</w:t>
      </w:r>
    </w:p>
    <w:p>
      <w:pPr>
        <w:spacing w:after="0" w:line="18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680" w:hanging="24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7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right="14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ind w:right="100" w:firstLine="436"/>
        <w:spacing w:after="0" w:line="26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8" w:right="439" w:bottom="1440" w:gutter="0" w:footer="0" w:header="0"/>
        </w:sectPr>
      </w:pPr>
    </w:p>
    <w:bookmarkStart w:id="54" w:name="page55"/>
    <w:bookmarkEnd w:id="54"/>
    <w:p>
      <w:pPr>
        <w:ind w:left="4" w:right="60" w:firstLine="436"/>
        <w:spacing w:after="0" w:line="266" w:lineRule="auto"/>
        <w:tabs>
          <w:tab w:leader="none" w:pos="6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will be under no obligation to exercise any of the rights or powers vested in it by this Indenture at the request or direction of any of the Holders unless such Holders have offered to the Trustee indemnity or security satisfactory to the Trustee against the losses, liabilities and expenses that might be incurred by it in compliance with such request or direction.</w:t>
      </w:r>
    </w:p>
    <w:p>
      <w:pPr>
        <w:spacing w:after="0" w:line="176"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In no event shall the Trustee be liable for any special, indirect, consequential or punitive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w:t>
      </w:r>
    </w:p>
    <w:p>
      <w:pPr>
        <w:spacing w:after="0" w:line="3" w:lineRule="exact"/>
        <w:rPr>
          <w:sz w:val="20"/>
          <w:szCs w:val="20"/>
          <w:color w:val="auto"/>
        </w:rPr>
      </w:pPr>
    </w:p>
    <w:p>
      <w:pPr>
        <w:ind w:left="4" w:right="120" w:hanging="4"/>
        <w:spacing w:after="0" w:line="260"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such Default or Event of Default shall have been given to the Trustee in accordance with Section 17.03 by the Company or by any Holder of the Notes.</w:t>
      </w:r>
    </w:p>
    <w:p>
      <w:pPr>
        <w:spacing w:after="0" w:line="17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left="4" w:right="320" w:firstLine="440"/>
        <w:spacing w:after="0" w:line="267"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or Note Registrar, in its individual or any other capacity, may become the owner or pledgee of Notes with the same rights it would have if it were not the Trustee, Paying Agent, Conversion Agent, Bid Solicitation Agent or Note Registrar.</w:t>
      </w:r>
    </w:p>
    <w:p>
      <w:pPr>
        <w:spacing w:after="0" w:line="17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Common Stock to Be Held in Trust.</w:t>
      </w:r>
      <w:r>
        <w:rPr>
          <w:rFonts w:ascii="Times New Roman" w:cs="Times New Roman" w:eastAsia="Times New Roman" w:hAnsi="Times New Roman"/>
          <w:sz w:val="18"/>
          <w:szCs w:val="18"/>
          <w:color w:val="auto"/>
        </w:rPr>
        <w:t xml:space="preserve"> All monies and any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any interest on any money or shares of Common Stock received by it hereunder except as may be agreed from time to time by the Company and the Trustee.</w:t>
      </w:r>
    </w:p>
    <w:p>
      <w:pPr>
        <w:spacing w:after="0" w:line="183"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in any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70" w:right="479" w:bottom="1440" w:gutter="0" w:footer="0" w:header="0"/>
        </w:sectPr>
      </w:pPr>
    </w:p>
    <w:bookmarkStart w:id="55" w:name="page56"/>
    <w:bookmarkEnd w:id="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(whether asserted by the Company, a Holder or any Person), damage, liability or expense incurred without gross negligence or willful misconduct on the part of the 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6" w:name="page57"/>
    <w:bookmarkEnd w:id="56"/>
    <w:p>
      <w:pPr>
        <w:ind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7.09</w:t>
      </w:r>
      <w:r>
        <w:rPr>
          <w:rFonts w:ascii="Times New Roman" w:cs="Times New Roman" w:eastAsia="Times New Roman" w:hAnsi="Times New Roman"/>
          <w:sz w:val="17"/>
          <w:szCs w:val="17"/>
          <w:i w:val="1"/>
          <w:iCs w:val="1"/>
          <w:color w:val="auto"/>
        </w:rPr>
        <w:t>. Resignation or Removal of Trustee.</w:t>
      </w:r>
      <w:r>
        <w:rPr>
          <w:rFonts w:ascii="Times New Roman" w:cs="Times New Roman" w:eastAsia="Times New Roman" w:hAnsi="Times New Roman"/>
          <w:sz w:val="17"/>
          <w:szCs w:val="17"/>
          <w:color w:val="auto"/>
        </w:rPr>
        <w:t xml:space="preserve"> (a) The Trustee may at any time resign by giving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mailing of such notice of resignation to the Holders, the resigning Trustee may, upon ten Business Days’ notice to the Company and the Holders and at the expense of the Company,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75" w:lineRule="exact"/>
        <w:rPr>
          <w:sz w:val="20"/>
          <w:szCs w:val="20"/>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0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68" w:right="479" w:bottom="1440" w:gutter="0" w:footer="0" w:header="0"/>
        </w:sectPr>
      </w:pPr>
    </w:p>
    <w:bookmarkStart w:id="57" w:name="page58"/>
    <w:bookmarkEnd w:id="57"/>
    <w:p>
      <w:pPr>
        <w:ind w:right="160" w:firstLine="436"/>
        <w:spacing w:after="0" w:line="281" w:lineRule="auto"/>
        <w:tabs>
          <w:tab w:leader="none" w:pos="68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4" w:lineRule="exact"/>
        <w:rPr>
          <w:rFonts w:ascii="Times New Roman" w:cs="Times New Roman" w:eastAsia="Times New Roman" w:hAnsi="Times New Roman"/>
          <w:sz w:val="17"/>
          <w:szCs w:val="17"/>
          <w:color w:val="auto"/>
        </w:rPr>
      </w:pPr>
    </w:p>
    <w:p>
      <w:pPr>
        <w:ind w:right="22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7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jc w:val="both"/>
        <w:ind w:left="4" w:right="240" w:firstLine="440"/>
        <w:spacing w:after="0" w:line="273"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4" w:right="60" w:hanging="4"/>
        <w:spacing w:after="0" w:line="252"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59" w:name="page60"/>
    <w:bookmarkEnd w:id="59"/>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r>
        <w:rPr>
          <w:rFonts w:ascii="Times New Roman" w:cs="Times New Roman" w:eastAsia="Times New Roman" w:hAnsi="Times New Roman"/>
          <w:sz w:val="18"/>
          <w:szCs w:val="18"/>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the Fundamental Change Repurchase Price, if applicable) of and (subject to Section 2.03) accrued and unpaid Special Interest, if any,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68" w:right="51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8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207" w:lineRule="exact"/>
        <w:rPr>
          <w:sz w:val="20"/>
          <w:szCs w:val="20"/>
          <w:color w:val="auto"/>
        </w:rPr>
      </w:pPr>
    </w:p>
    <w:p>
      <w:pPr>
        <w:jc w:val="both"/>
        <w:ind w:right="10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1" w:name="page62"/>
    <w:bookmarkEnd w:id="61"/>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spacing w:after="0" w:line="18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spacing w:after="0" w:line="183"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7"/>
          <w:szCs w:val="17"/>
          <w:color w:val="auto"/>
        </w:rPr>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62" w:name="page63"/>
    <w:bookmarkEnd w:id="6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9 shall be deemed or construed to limit any Holder’s actions pursuant to the applicable procedures of the Depositary so long as the Notes are Global Notes.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20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Defaults of the Company for the benefit of the Holders or surrender any right or power conferred upon the Company under this Indenture;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pursuant to Section 7.10 or a successor Note Registrar, Paying Agent, Bid Solicitation Agent or Conversion Agent pursuant to the terms of this Indenture or to facilitate the administration of the trusts under this Indenture by more than one trustee;</w:t>
      </w:r>
    </w:p>
    <w:p>
      <w:pPr>
        <w:spacing w:after="0" w:line="173" w:lineRule="exact"/>
        <w:rPr>
          <w:rFonts w:ascii="Times New Roman" w:cs="Times New Roman" w:eastAsia="Times New Roman" w:hAnsi="Times New Roman"/>
          <w:sz w:val="18"/>
          <w:szCs w:val="18"/>
          <w:color w:val="auto"/>
        </w:rPr>
      </w:pPr>
    </w:p>
    <w:p>
      <w:pPr>
        <w:ind w:right="260" w:firstLine="436"/>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Cash Percentage with respect to conversions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election shall affect any Cash Percentage theretofore elected (or deemed to be elected) with respect to any Note pursuant to the provisions of Section 14.02;</w:t>
      </w:r>
    </w:p>
    <w:p>
      <w:pPr>
        <w:spacing w:after="0" w:line="160" w:lineRule="exact"/>
        <w:rPr>
          <w:rFonts w:ascii="Times New Roman" w:cs="Times New Roman" w:eastAsia="Times New Roman" w:hAnsi="Times New Roman"/>
          <w:sz w:val="18"/>
          <w:szCs w:val="18"/>
          <w:color w:val="auto"/>
        </w:rPr>
      </w:pPr>
    </w:p>
    <w:p>
      <w:pPr>
        <w:ind w:right="160" w:firstLine="436"/>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 as set forth in an Officer’s Certificate;</w:t>
      </w:r>
    </w:p>
    <w:p>
      <w:pPr>
        <w:spacing w:after="0" w:line="161" w:lineRule="exact"/>
        <w:rPr>
          <w:rFonts w:ascii="Times New Roman" w:cs="Times New Roman" w:eastAsia="Times New Roman" w:hAnsi="Times New Roman"/>
          <w:sz w:val="18"/>
          <w:szCs w:val="18"/>
          <w:color w:val="auto"/>
        </w:rPr>
      </w:pPr>
    </w:p>
    <w:p>
      <w:pPr>
        <w:ind w:right="420" w:firstLine="436"/>
        <w:spacing w:after="0" w:line="312" w:lineRule="auto"/>
        <w:tabs>
          <w:tab w:leader="none" w:pos="69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Specified Transaction, to provide that the Notes are convertible into Reference Property, subject to the provisions described in Section 14.02, and make certain related changes to the terms of the Notes to the extent expressly required under this Indenture;</w:t>
      </w:r>
    </w:p>
    <w:p>
      <w:pPr>
        <w:spacing w:after="0" w:line="13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Section 2.10; or</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 in a manner that does not adversely affect the rights of any Holder.</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subject to Section 10.05, the Trustee is hereby authorized to, and shall join with the Company in the execution of any such supplemental indenture and to make any further appropriate agreements and stipulations that may be therein contained, except that the Trustee shall not be obligated to, but may in its discretion, enter into any supplemental indenture that affects the Trustee’s own rights, duties or immunities under this Indenture or otherwise.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64" w:name="page65"/>
    <w:bookmarkEnd w:id="64"/>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any supplemental indenture or the Notes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185" w:lineRule="exact"/>
        <w:rPr>
          <w:sz w:val="20"/>
          <w:szCs w:val="20"/>
          <w:color w:val="auto"/>
        </w:rPr>
      </w:pPr>
    </w:p>
    <w:p>
      <w:pPr>
        <w:ind w:left="680" w:hanging="244"/>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any Special Interest or interest payable pursuant to Section 2.03(c)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Maturity Date of any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5" w:name="page66"/>
    <w:bookmarkEnd w:id="6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that the supplemental indenture constitutes the legal, valid and binding obligation of the Company enforceable in accordance with its terms, subject to customary exceptions and qualifications.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20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its properties and assets to another Person (other than one or more of the Company’s direct or indirect wholly owned Subsidiaries), unless:</w:t>
      </w:r>
    </w:p>
    <w:p>
      <w:pPr>
        <w:spacing w:after="0" w:line="171" w:lineRule="exact"/>
        <w:rPr>
          <w:sz w:val="20"/>
          <w:szCs w:val="20"/>
          <w:color w:val="auto"/>
        </w:rPr>
      </w:pPr>
    </w:p>
    <w:p>
      <w:pPr>
        <w:ind w:right="80" w:firstLine="436"/>
        <w:spacing w:after="0" w:line="262"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immediately after giving effect to such transaction, no Default or Event of Default shall have occurred and be continuing under this Indenture.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r>
        <w:rPr>
          <w:rFonts w:ascii="Times New Roman" w:cs="Times New Roman" w:eastAsia="Times New Roman" w:hAnsi="Times New Roman"/>
          <w:sz w:val="18"/>
          <w:szCs w:val="18"/>
          <w:color w:val="auto"/>
        </w:rPr>
        <w:t xml:space="preserve"> In case of any such consolidation, merger, sale, conveyance, transfer or lease and upon the assumption by the Successor Company, by supplemental indenture (if required by Section 11.01), executed and delivered to the Trustee and satisfactory in form to the Trustee, of the due and punctual payment of the principal of and any accrued and unpaid Special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7" w:name="page68"/>
    <w:bookmarkEnd w:id="6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lease, such changes in phraseology and form (but not in substance) may be made in the Notes thereafter to be issued as may be appropriate.</w:t>
      </w:r>
    </w:p>
    <w:p>
      <w:pPr>
        <w:spacing w:after="0" w:line="160"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Section 11.03</w:t>
      </w:r>
      <w:r>
        <w:rPr>
          <w:rFonts w:ascii="Times New Roman" w:cs="Times New Roman" w:eastAsia="Times New Roman" w:hAnsi="Times New Roman"/>
          <w:sz w:val="17"/>
          <w:szCs w:val="17"/>
          <w:i w:val="1"/>
          <w:iCs w:val="1"/>
          <w:color w:val="auto"/>
        </w:rPr>
        <w:t>. Officer’s Certificate and Opinion of Counsel to Be Given to Trustee.</w:t>
      </w:r>
      <w:r>
        <w:rPr>
          <w:rFonts w:ascii="Times New Roman" w:cs="Times New Roman" w:eastAsia="Times New Roman" w:hAnsi="Times New Roman"/>
          <w:sz w:val="17"/>
          <w:szCs w:val="17"/>
          <w:color w:val="auto"/>
        </w:rPr>
        <w:t xml:space="preserve">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and in the case of the Opinion of Counsel, that such supplemental indenture is the legal, valid and binding obligation of the relevant Successor Company, subject to customary exceptions and qualifications.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205"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Section 12.01</w:t>
      </w:r>
      <w:r>
        <w:rPr>
          <w:rFonts w:ascii="Times New Roman" w:cs="Times New Roman" w:eastAsia="Times New Roman" w:hAnsi="Times New Roman"/>
          <w:sz w:val="17"/>
          <w:szCs w:val="17"/>
          <w:i w:val="1"/>
          <w:iCs w:val="1"/>
          <w:color w:val="auto"/>
        </w:rPr>
        <w:t>. Indenture and Notes Solely Corporate Obligations.</w:t>
      </w:r>
      <w:r>
        <w:rPr>
          <w:rFonts w:ascii="Times New Roman" w:cs="Times New Roman" w:eastAsia="Times New Roman" w:hAnsi="Times New Roman"/>
          <w:sz w:val="17"/>
          <w:szCs w:val="17"/>
          <w:color w:val="auto"/>
        </w:rPr>
        <w:t xml:space="preserve"> No recourse for the payment of the principal of or any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Notes.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r>
        <w:rPr>
          <w:rFonts w:ascii="Times New Roman" w:cs="Times New Roman" w:eastAsia="Times New Roman" w:hAnsi="Times New Roman"/>
          <w:sz w:val="18"/>
          <w:szCs w:val="18"/>
          <w:color w:val="auto"/>
        </w:rPr>
        <w:t xml:space="preserve"> (a) Subject to and upon compliance with the provisions of this Article 14, each Holder of a Note shall have the right, at such Holder’s option, to convert all or any portion (if the portion to be converted is a minimum of $1,000 principal amount or a multiple of $1,000 in excess thereof) of such Note (i) subject to satisfaction of the conditions described in Section 14.01(b), at any time prior to the close of business on the Business Day immediately preceding January 15, 2030 under the circumstances and during the periods set forth in Section 14.01(b), and (ii) regardless of the conditions described in Section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8" w:name="page69"/>
    <w:bookmarkEnd w:id="6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14.01(b), on or after January 15, 2030 and prior to the close of business on the second Scheduled Trading Day immediately preceding the Maturity Date, in each case, at an initial conversion rate of 4.9650 shares of Common Stock (subject to adjustment as provided in this Article 14,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firstLine="419"/>
        <w:spacing w:after="0" w:line="251"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close of business on the Business Day immediately preceding January 15, 2030, a Holder may surrender all or any portion of its Notes for conversion at any time during the five Business Day period immediately after any five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Section 14.01(b)(i),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Section 14.01(b)(i)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who have agreed to deliver bids, along with appropriate contact information for each, and shall direct such securities dealers to provide the required information to the Bid Solicitation Agent.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of at least $1,000,000 aggregate principal amount of Notes requests in writing that the Company make such a determination and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instruct the Bid Solicitation Agent in writing to determine the Trading Price per $1,000 principal amount of Notes when obligated as provided in the preceding sentence, or if the Company so instructs the Bid Solicitation Agent to obtain bids and the Bid Solicitation Agent fails to make such determination, or (y) the Company is acting as Bid Solicitation Agent and the Company fails to determine the Trading Price per $1,000 principal amount of Notes when the Company is required to do so, then, in either case, the Trading Price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9" w:name="page70"/>
    <w:bookmarkEnd w:id="69"/>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of the Notes, the Trustee and the Conversion Agent (if other than the Trustee) in writing. Other than as set forth above, none of the Trustee, Bid Solicitation Agent or Conversion Agent shall have any duty to determine or verify the Company’s determination of whether the Trading Price condition set forth above has been met.</w:t>
      </w:r>
    </w:p>
    <w:p>
      <w:pPr>
        <w:spacing w:after="0" w:line="84" w:lineRule="exact"/>
        <w:rPr>
          <w:sz w:val="20"/>
          <w:szCs w:val="20"/>
          <w:color w:val="auto"/>
        </w:rPr>
      </w:pPr>
    </w:p>
    <w:p>
      <w:pPr>
        <w:ind w:left="684" w:hanging="261"/>
        <w:spacing w:after="0"/>
        <w:tabs>
          <w:tab w:leader="none" w:pos="6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January 15, 2030, the Company elects to:</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8" w:lineRule="auto"/>
        <w:tabs>
          <w:tab w:leader="none" w:pos="12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all or substantially all holders of the Common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75" w:lineRule="exact"/>
        <w:rPr>
          <w:rFonts w:ascii="Times New Roman" w:cs="Times New Roman" w:eastAsia="Times New Roman" w:hAnsi="Times New Roman"/>
          <w:sz w:val="18"/>
          <w:szCs w:val="18"/>
          <w:color w:val="auto"/>
        </w:rPr>
      </w:pPr>
    </w:p>
    <w:p>
      <w:pPr>
        <w:ind w:left="544" w:firstLine="408"/>
        <w:spacing w:after="0" w:line="261" w:lineRule="auto"/>
        <w:tabs>
          <w:tab w:leader="none" w:pos="122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Stock the Company’s assets, securities or rights to purchase securities of the Company (other than in connection with a stockholder rights plan prior to the separation of the relevant rights), which distribution has a per share value, as reasonably determined by the Board of Directors, exceeding 10% of the Last Reported Sale Price of the Common Stock on the Trading Day preceding the date of announcement for such distribution;</w:t>
      </w:r>
    </w:p>
    <w:p>
      <w:pPr>
        <w:spacing w:after="0" w:line="72"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then, in either case, the Company shall notify all Holders of the Notes, the Trustee and the Conversion Agent (if other than the Trustee) at least 30 Scheduled Trading Days prior to the Ex-Dividend Date for such issuance or distribution.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None of the Trustee, Bid Solicitation Agent or Conversion Agent shall have any duty to determine or verify the Company’s determination of whether an issuance or distribution described in this clause</w:t>
      </w:r>
    </w:p>
    <w:p>
      <w:pPr>
        <w:spacing w:after="0" w:line="5" w:lineRule="exact"/>
        <w:rPr>
          <w:sz w:val="20"/>
          <w:szCs w:val="20"/>
          <w:color w:val="auto"/>
        </w:rPr>
      </w:pPr>
    </w:p>
    <w:p>
      <w:pPr>
        <w:ind w:left="4" w:right="80" w:hanging="4"/>
        <w:spacing w:after="0" w:line="260" w:lineRule="auto"/>
        <w:tabs>
          <w:tab w:leader="none" w:pos="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Holders of the Notes may not convert their Notes pursuant to this clause (ii) if they participate (other than in the case of a share split or share combination),</w:t>
      </w:r>
    </w:p>
    <w:p>
      <w:pPr>
        <w:spacing w:after="0" w:line="11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04"/>
          </w:cols>
          <w:pgMar w:left="876" w:top="270" w:right="519" w:bottom="1440" w:gutter="0" w:footer="0" w:header="0"/>
        </w:sectPr>
      </w:pPr>
    </w:p>
    <w:bookmarkStart w:id="70" w:name="page71"/>
    <w:bookmarkEnd w:id="70"/>
    <w:p>
      <w:pPr>
        <w:ind w:left="40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same time and upon the same terms as holders of the Common Stock and solely as a result of holding the Notes, in the relevant transaction described above without having to convert their Notes as if they held a number of shares of Common Stock equal to the applicable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68" w:lineRule="exact"/>
        <w:rPr>
          <w:sz w:val="20"/>
          <w:szCs w:val="20"/>
          <w:color w:val="auto"/>
        </w:rPr>
      </w:pPr>
    </w:p>
    <w:p>
      <w:pPr>
        <w:ind w:left="400" w:firstLine="419"/>
        <w:spacing w:after="0" w:line="253" w:lineRule="auto"/>
        <w:tabs>
          <w:tab w:leader="none" w:pos="11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or a Make-Whole Fundamental Change occurs prior to the close of business on the Business Day immediately preceding January 15, 2030 or if the Company is a party to a Specified Transaction that occurs prior to the close of business on the Business Day immediately preceding January 15, 2030 (any such Fundamental Change, Make-Whole Fundamental Change or Specified Transaction,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then, in each case, all or any portion of a Holder’s Notes may be surrendered for conversion at any time from or after the effective date of such Corporate Event until 35 Trading Days after the effective date of such Corporate Event (or, if the Company gives notice after the effective date of such Corporate Event pursuant to the succeeding sentence, until the 35th Trading Day after the Company gives such notice) or, if such Corporate Event also constitutes a Fundamental Change, until the related Fundamental Change Repurchase Date. The Company shall notify Holders, the Trustee and the Conversion Agent (if other than the Trustee) within three Business Days of the occurrence of such Corporate Event. None of the Trustee, Bid Solicitation Agent or Conversion Agent shall have any duty to determine or verify the Company’s determination of whether a Corporate Event has occurred.</w:t>
      </w:r>
    </w:p>
    <w:p>
      <w:pPr>
        <w:spacing w:after="0" w:line="86" w:lineRule="exact"/>
        <w:rPr>
          <w:rFonts w:ascii="Times New Roman" w:cs="Times New Roman" w:eastAsia="Times New Roman" w:hAnsi="Times New Roman"/>
          <w:sz w:val="18"/>
          <w:szCs w:val="18"/>
          <w:color w:val="auto"/>
        </w:rPr>
      </w:pPr>
    </w:p>
    <w:p>
      <w:pPr>
        <w:ind w:left="400" w:right="40" w:firstLine="419"/>
        <w:spacing w:after="0" w:line="274" w:lineRule="auto"/>
        <w:tabs>
          <w:tab w:leader="none" w:pos="112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close of business on the Business Day immediately preceding January 15, 2030, a Holder may surrender all or any portion of its Notes for conversion at any time during any calendar quarter (and only during such calendar quarter) commencing after the calendar quarter ending on September 30, 2026,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None of the Trustee, Bid Solicitation Agent or Conversion Agent shall have any duty to determine or verify the Company’s determination of whether the condition set forth in this clause (iv) has been met.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119" w:lineRule="exact"/>
        <w:rPr>
          <w:sz w:val="20"/>
          <w:szCs w:val="20"/>
          <w:color w:val="auto"/>
        </w:rPr>
      </w:pPr>
    </w:p>
    <w:p>
      <w:pPr>
        <w:ind w:left="-40" w:right="120" w:firstLine="436"/>
        <w:spacing w:after="0" w:line="258"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satisfy its Conversion Obligation by paying, and if applicable, delivering to the converting Holder, in respect of each $1,000 principal amount of Notes being converted, a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equal to the sum of the Daily Settlement Amounts for each of the 20 consecutive Trading Days during the relevant Observation Period together with cash, if applicable, in lieu of delivering any fractional share of Common Stock in accordance with subsection (i) of this Section 14.02.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0"/>
          </w:cols>
          <w:pgMar w:left="480" w:top="270" w:right="479" w:bottom="1440" w:gutter="0" w:footer="0" w:header="0"/>
        </w:sectPr>
      </w:pPr>
    </w:p>
    <w:bookmarkStart w:id="71" w:name="page72"/>
    <w:bookmarkEnd w:id="71"/>
    <w:p>
      <w:pPr>
        <w:ind w:right="20" w:firstLine="419"/>
        <w:spacing w:after="0" w:line="256" w:lineRule="auto"/>
        <w:tabs>
          <w:tab w:leader="none" w:pos="6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conversions for which the relevant Conversion Date occurs during the period from, and including, January 15, 2030 to the close of business on the second Scheduled Trading Day immediately preceding the Maturity Date shall be settled using the same Cash Percentage. Except for any conversions for which the relevant Conversion Date occurs during the period from, and including, January 15, 2030 to the close of business on the second Scheduled Trading Day immediately preceding the Maturity Date, the Company shall use the same Cash Percentage for all conversions occurring on the same Conversion Date, but the Company shall not have any obligation to use the same Cash Percentage with respect to conversions that occur on different Conversion Dates.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occurring during the period from, and including, January 15, 2030 to the close of business on the second Scheduled Trading Day immediately preceding the Maturity Date), the Company elects to settle all or a portion of its Conversion Obligation in excess of the aggregate principal amount of the Notes being converted in cash in respect of such Conversion Date (or such period, as the case may be), the Company shall inform Holders so converting in writing, with a copy to the Trustee and the Conversion Agent (if other than the Trustee), of such election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no later than the close of business on the Trading Day immediately following the relevant Conversion Date (or, in the case of any conversions occurring from, and including, January 15, 2030 to the close of business on the second Scheduled Trading Day immediately preceding the Maturity Date, no later than the close of business on the Business Day immediately preceding January 15, 2030), and the Company shall indicate in such Settlement Notice the percentage of the Conversion Obligation in excess of the aggregate principal amount of the Notes being converted that shall be paid in cash (the “</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If the relevant Holders are not informed of a Cash Percentage prior to the deadline set forth in the immediately preceding sentence, the Company shall no longer have the right to elect a Cash Percentage with respect to any conversion on such Conversion Date or during such period, as the case may be, and the Company shall be deemed to have elected a Cash Percentage of 0% with respect to such conversion.</w:t>
      </w:r>
    </w:p>
    <w:p>
      <w:pPr>
        <w:spacing w:after="0" w:line="81" w:lineRule="exact"/>
        <w:rPr>
          <w:rFonts w:ascii="Times New Roman" w:cs="Times New Roman" w:eastAsia="Times New Roman" w:hAnsi="Times New Roman"/>
          <w:sz w:val="18"/>
          <w:szCs w:val="18"/>
          <w:color w:val="auto"/>
        </w:rPr>
      </w:pPr>
    </w:p>
    <w:p>
      <w:pPr>
        <w:ind w:firstLine="419"/>
        <w:spacing w:after="0" w:line="255" w:lineRule="auto"/>
        <w:tabs>
          <w:tab w:leader="none" w:pos="7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conversion of Notes, the Daily Settlement Amounts, the Daily Net Settlement Amounts, the Daily Conversion Values and the Settlement Amount shall be determined by the Company promptly following the last day of the relevant Observation Period. Promptly after such determination of the Daily Settlement Amounts, the Daily Net Settlement Amounts, the Daily Conversion Values and the Settlement Amount, as the case may be, and the amount of cash payable in lieu of delivering any fractional share of Common Stock, the Company shall notify the Trustee and the Conversion Agent (if other than the Trustee) of the Daily Settlement Amounts, the Daily Net Settlement Amounts, the Daily Conversion Values and the Settlement Amount, as the case may be, and the amount of cash payable in lieu of delivering fractional shares of Common Stock. The Trustee and the Conversion Agent (if other than the Trustee) shall have no responsibility for any such determination.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60"/>
          </w:cols>
          <w:pgMar w:left="880" w:top="270" w:right="459" w:bottom="1440" w:gutter="0" w:footer="0" w:header="0"/>
        </w:sectPr>
      </w:pPr>
    </w:p>
    <w:bookmarkStart w:id="72" w:name="page73"/>
    <w:bookmarkEnd w:id="72"/>
    <w:p>
      <w:pPr>
        <w:ind w:firstLine="436"/>
        <w:spacing w:after="0" w:line="25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14.02(e), before any Holder of a Note shall be entitled to convert a Note as set forth above, such Holder shall (i) in the case of a Global Note, comply with the procedures of the Depositary in effect at that time and, if required, pay funds equal to any Special Interest payable on the next Special Interest Payment Date as set forth in Section 14.02(g) and, if required by Section 14.02(d) or Section 14.02(e), pay all transfer or similar taxes, if any, and (ii) in the case of a Physical Note (1) complete, manually sign and deliver an irrevocable notice to the Conversion Agent as set forth in the Form of Notice of Conversion (or a facsimile thereof)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any Special Interest payable on the next Special Interest Payment Date as set forth in Section 14.02(g) and (5) if required by Section 14.02(d) or Section 14.02(e), pay all transfer or similar taxes, if any.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unless and until such Holder has validly withdrawn such Fundamental Change Repurchase Notice in accordance with Section 15.03.</w:t>
      </w:r>
    </w:p>
    <w:p>
      <w:pPr>
        <w:spacing w:after="0" w:line="19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72" w:lineRule="exact"/>
        <w:rPr>
          <w:sz w:val="20"/>
          <w:szCs w:val="20"/>
          <w:color w:val="auto"/>
        </w:rPr>
      </w:pPr>
    </w:p>
    <w:p>
      <w:pPr>
        <w:ind w:firstLine="436"/>
        <w:spacing w:after="0" w:line="256"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provided in Section 14.03(b) and Section 14.07(a), the Company shall pay and, if applicable, deliver the consideration due in respect of the Conversion Obligation on the second Business Day immediately following the last Trading Day of the relevant Observation Period.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86"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3" w:name="page74"/>
    <w:bookmarkEnd w:id="73"/>
    <w:p>
      <w:pPr>
        <w:ind w:right="20" w:firstLine="436"/>
        <w:spacing w:after="0" w:line="258"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Holder submits a Note for conversion, the Company shall pay any documentary, stamp or similar issue or transfer tax due on the issuance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Special Interest, if any, except as set forth below. The Company’s settlement of the full Conversion Obligation shall be deemed to satisfy in full its obligation to pay the principal amount of the Note and accrued and unpaid Special Interest, if any, to, but not including, the relevant Conversion Date. As a result, accrued and unpaid Special Interest, if any, to, but not including, the relevant Conversion Date shall be deemed to be paid in full rather than canceled, extinguished or forfeited. Upon a conversion of Notes, any accrued and unpaid Special Interest will be deemed to be paid first out of the cash paid upon such conversion. Notwithstanding the foregoing, if Notes are converted after the close of business on a Special Interest Record Date for the payment of Special Interest, Holders of such Notes as of the close of business on such Special Interest Record Date will receive the full amount of any Special Interest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any Special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May 1, 2030, if and to the extent any Special Interest is payable on the Maturity Date; (2) if the Company has specified a Fundamental Change Repurchase Date that is after a Special Interest Record Date and on or prior to the Business Day immediately succeeding the date on which the corresponding Special Interest payment is made; or (3) to the extent of any interest constituting Defaulted Amounts, if any Defaulted Amounts exist at the time of conversion with respect to such Note. Therefore, for the avoidance of doubt, all Holders of record as of the close of business on May 1, 2030 (if and to the extent Special Interest is payable on the Maturity Date) and the Special Interest Record Date immediately preceding any Fundamental Change Repurchase Date as described in clause (2) of the immediately preceding sentence shall receive the full Special Interest payment, if any, due on the Maturity Date or other applicable Special Interest Payment Date regardless of whether their Notes have been converted following such Special Interest Record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right="200" w:firstLine="436"/>
        <w:spacing w:after="0" w:line="266"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in whose name the certificate for any shares of Common Stock delivered upon conversion is registered shall be treated as a stockholder of record as of the close of business on the last Trading Day of the relevant Observation Period. Upon a conversion of Notes, such Person shall no longer be a Holder of such Notes surrendered for conversion.</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of Common Stock (if any) that shall be issued upon conversion thereof shall be computed on the basis of the aggregate Daily Settlement Amounts for the relevant Observation Period and any fractional shares remaining after such computation shall be paid in cash.</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w:t>
      </w:r>
      <w:r>
        <w:rPr>
          <w:rFonts w:ascii="Times New Roman" w:cs="Times New Roman" w:eastAsia="Times New Roman" w:hAnsi="Times New Roman"/>
          <w:sz w:val="18"/>
          <w:szCs w:val="18"/>
          <w:color w:val="auto"/>
        </w:rPr>
        <w:t xml:space="preserve"> (a) If the Effective Date of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as described below. A conversion of Notes shall be deemed for these purposes to be “in connection with” a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subclause (i) of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36"/>
        <w:spacing w:after="0" w:line="253"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the Company shall satisfy its Conversion Obligation in respect of such converted Notes in accordance with Section 14.02 based on the Conversion Rate as increased to reflect the Additional Shares pursuant to the table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second Business Day following the Conversion Date. The Company shall notify the Holders of Notes in writing with a copy to the Trustee and the Conversion Agent (if other than the Trustee) of the Effective Date of any Make-Whole Fundamental Change no later than five Business Days after such Effective Date.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75" w:name="page76"/>
    <w:bookmarkEnd w:id="75"/>
    <w:p>
      <w:pPr>
        <w:ind w:right="60" w:firstLine="436"/>
        <w:spacing w:after="0" w:line="255"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Additional Shares, if any, by which the Conversion Rate shall be increased shall be determined by reference to the table below, based on the date on which the Make-Whole Fundamental Change occurs or becomes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Common Stock in the Make-Whole Fundamental Change.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w:t>
      </w:r>
    </w:p>
    <w:p>
      <w:pPr>
        <w:spacing w:after="0" w:line="188"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080" w:type="dxa"/>
            <w:vAlign w:val="bottom"/>
            <w:vMerge w:val="restart"/>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141.34</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165.00</w:t>
            </w:r>
          </w:p>
        </w:tc>
        <w:tc>
          <w:tcPr>
            <w:tcW w:w="18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201.41</w:t>
            </w:r>
          </w:p>
        </w:tc>
        <w:tc>
          <w:tcPr>
            <w:tcW w:w="160" w:type="dxa"/>
            <w:vAlign w:val="bottom"/>
          </w:tcPr>
          <w:p>
            <w:pPr>
              <w:spacing w:after="0"/>
              <w:rPr>
                <w:sz w:val="12"/>
                <w:szCs w:val="12"/>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300.00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375.00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500.00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22, 2026</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2.1101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1.8818</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1.5572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1.3012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1.0212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0.6173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0.3854</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0.2004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0.0705</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1.8818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1.5432</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1.2717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0.9777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0.5633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0.3341</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0.1601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0.0478</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2028</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2.1101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1.8702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1.4927</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1.2012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0.8912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0.4711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0.2544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0.1045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0.0220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2029</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1.7860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1.3603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1.0388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0.7098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0.1295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0.0351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0.0017</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2.1101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1.7017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1.0956</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0.5906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exact Stock Prices and Effective Dates may not be set forth in the table above, in which case:</w:t>
      </w:r>
    </w:p>
    <w:p>
      <w:pPr>
        <w:spacing w:after="0" w:line="117" w:lineRule="exact"/>
        <w:rPr>
          <w:sz w:val="20"/>
          <w:szCs w:val="20"/>
          <w:color w:val="auto"/>
        </w:rPr>
      </w:pPr>
    </w:p>
    <w:p>
      <w:pPr>
        <w:jc w:val="both"/>
        <w:ind w:left="440" w:right="100" w:firstLine="419"/>
        <w:spacing w:after="0" w:line="261" w:lineRule="auto"/>
        <w:tabs>
          <w:tab w:leader="none" w:pos="10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above,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or 366-day year,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6" w:name="page77"/>
    <w:bookmarkEnd w:id="76"/>
    <w:p>
      <w:pPr>
        <w:ind w:left="440" w:right="60" w:firstLine="419"/>
        <w:spacing w:after="0" w:line="282" w:lineRule="auto"/>
        <w:tabs>
          <w:tab w:leader="none" w:pos="11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Stock Price is greater than $900.00 per share (subject to adjustment in the same manner as the Stock Prices set forth in the column headings of the table above pursuant to subsection (d) above), no Additional Shares shall be added to the Conversion Rate;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$141.34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7.0751 shares of Common Stock, subject to adjustment in the same manner as the Conversion Rate pursuant to Section 14.04 (the “</w:t>
      </w:r>
      <w:r>
        <w:rPr>
          <w:rFonts w:ascii="Times New Roman" w:cs="Times New Roman" w:eastAsia="Times New Roman" w:hAnsi="Times New Roman"/>
          <w:sz w:val="18"/>
          <w:szCs w:val="18"/>
          <w:b w:val="1"/>
          <w:bCs w:val="1"/>
          <w:color w:val="auto"/>
        </w:rPr>
        <w:t>Maximum Conversion Rate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40" w:firstLine="436"/>
        <w:spacing w:after="0" w:line="282" w:lineRule="auto"/>
        <w:tabs>
          <w:tab w:leader="none" w:pos="6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 14.04 in respect of a Make-Whole Fundamental Change.</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160" w:firstLine="436"/>
        <w:spacing w:after="0" w:line="312" w:lineRule="auto"/>
        <w:tabs>
          <w:tab w:leader="none" w:pos="68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exclusively issues shares of Common Stock as a dividend or distribution on shares of the Common Stock, or if the Company effects a share split or share combination in respect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117475</wp:posOffset>
            </wp:positionV>
            <wp:extent cx="1062990" cy="436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629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980"/>
          </w:cols>
          <w:pgMar w:left="440" w:top="270" w:right="4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7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54" w:lineRule="exact"/>
        <w:rPr>
          <w:sz w:val="20"/>
          <w:szCs w:val="20"/>
          <w:color w:val="auto"/>
        </w:rPr>
      </w:pPr>
    </w:p>
    <w:p>
      <w:pPr>
        <w:sectPr>
          <w:pgSz w:w="11900" w:h="16838" w:orient="portrait"/>
          <w:cols w:equalWidth="0" w:num="2">
            <w:col w:w="300" w:space="360"/>
            <w:col w:w="103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 or Effective Date, as applicable;</w:t>
      </w:r>
    </w:p>
    <w:p>
      <w:pPr>
        <w:spacing w:after="0" w:line="158" w:lineRule="exact"/>
        <w:rPr>
          <w:sz w:val="20"/>
          <w:szCs w:val="20"/>
          <w:color w:val="auto"/>
        </w:rPr>
      </w:pPr>
    </w:p>
    <w:p>
      <w:pPr>
        <w:sectPr>
          <w:pgSz w:w="11900" w:h="16838" w:orient="portrait"/>
          <w:cols w:equalWidth="0" w:num="2">
            <w:col w:w="300" w:space="140"/>
            <w:col w:w="1054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type w:val="continuous"/>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4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prior to the open of business on such Ex-Dividend Date or Effective Date (before giving effect to any such dividend, distribution, share split or share combination);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-391160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04" w:space="360"/>
            <w:col w:w="10260"/>
          </w:cols>
          <w:pgMar w:left="436" w:top="270" w:right="53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ind w:right="64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 combination.</w:t>
      </w:r>
    </w:p>
    <w:p>
      <w:pPr>
        <w:spacing w:after="0" w:line="162" w:lineRule="exact"/>
        <w:rPr>
          <w:sz w:val="20"/>
          <w:szCs w:val="20"/>
          <w:color w:val="auto"/>
        </w:rPr>
      </w:pPr>
    </w:p>
    <w:p>
      <w:pPr>
        <w:sectPr>
          <w:pgSz w:w="11900" w:h="16838" w:orient="portrait"/>
          <w:cols w:equalWidth="0" w:num="2">
            <w:col w:w="284" w:space="380"/>
            <w:col w:w="10260"/>
          </w:cols>
          <w:pgMar w:left="436" w:top="270" w:right="539" w:bottom="1440" w:gutter="0" w:footer="0" w:header="0"/>
          <w:type w:val="continuous"/>
        </w:sect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or any share split or combination of the type described in this Section 14.04(a) is announced but the outstanding shares of Common Stock are not split or combined, as the case may be, the Conversion Rate shall be immediately readjusted, effective as of the date the Board of Directors determines not to pay such dividend or distribution, or not to split or combine the outstanding shares of Common Stock, as the case may be, to the Conversion Rate that would then be in effect if such dividend or distribution had not been declared or such share split or combination had not been announced.</w:t>
      </w:r>
    </w:p>
    <w:p>
      <w:pPr>
        <w:spacing w:after="0" w:line="189" w:lineRule="exact"/>
        <w:rPr>
          <w:sz w:val="20"/>
          <w:szCs w:val="20"/>
          <w:color w:val="auto"/>
        </w:rPr>
      </w:pPr>
    </w:p>
    <w:p>
      <w:pPr>
        <w:ind w:left="4" w:firstLine="436"/>
        <w:spacing w:after="0" w:line="258" w:lineRule="auto"/>
        <w:tabs>
          <w:tab w:leader="none" w:pos="6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145415</wp:posOffset>
            </wp:positionV>
            <wp:extent cx="1354455" cy="420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544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8860" w:type="dxa"/>
            <w:vAlign w:val="bottom"/>
          </w:tcPr>
          <w:p>
            <w:pPr>
              <w:spacing w:after="0"/>
              <w:rPr>
                <w:sz w:val="20"/>
                <w:szCs w:val="20"/>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issuance;</w:t>
            </w: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5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r>
    </w:tbl>
    <w:p>
      <w:pPr>
        <w:spacing w:after="0" w:line="59" w:lineRule="exact"/>
        <w:rPr>
          <w:sz w:val="20"/>
          <w:szCs w:val="20"/>
          <w:color w:val="auto"/>
        </w:rPr>
      </w:pPr>
    </w:p>
    <w:p>
      <w:pPr>
        <w:ind w:left="5424" w:right="2900" w:hanging="5424"/>
        <w:spacing w:after="0" w:line="454" w:lineRule="auto"/>
        <w:tabs>
          <w:tab w:leader="none" w:pos="4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rights, options or warrants; and 67</w:t>
      </w:r>
    </w:p>
    <w:p>
      <w:pPr>
        <w:sectPr>
          <w:pgSz w:w="11900" w:h="16838" w:orient="portrait"/>
          <w:cols w:equalWidth="0" w:num="1">
            <w:col w:w="10924"/>
          </w:cols>
          <w:pgMar w:left="436" w:top="270" w:right="539" w:bottom="1440" w:gutter="0" w:footer="0" w:header="0"/>
          <w:type w:val="continuous"/>
        </w:sectPr>
      </w:pPr>
    </w:p>
    <w:bookmarkStart w:id="78" w:name="page79"/>
    <w:bookmarkEnd w:id="78"/>
    <w:p>
      <w:pPr>
        <w:ind w:left="444" w:hanging="444"/>
        <w:spacing w:after="0" w:line="267" w:lineRule="auto"/>
        <w:tabs>
          <w:tab w:leader="none" w:pos="2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7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Section 14.01(b)(ii)(A), in determining whether any rights, options or warrants entitle the holders of the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7" w:lineRule="exact"/>
        <w:rPr>
          <w:sz w:val="20"/>
          <w:szCs w:val="20"/>
          <w:color w:val="auto"/>
        </w:rPr>
      </w:pPr>
    </w:p>
    <w:p>
      <w:pPr>
        <w:ind w:left="4" w:right="20" w:firstLine="436"/>
        <w:spacing w:after="0" w:line="261" w:lineRule="auto"/>
        <w:tabs>
          <w:tab w:leader="none" w:pos="68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w:t>
      </w:r>
    </w:p>
    <w:p>
      <w:pPr>
        <w:ind w:left="4" w:right="20" w:hanging="4"/>
        <w:spacing w:after="0" w:line="252" w:lineRule="auto"/>
        <w:tabs>
          <w:tab w:leader="none" w:pos="2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issuances as to which an adjustment was effected (or would have been effected but for Section 14.04(j)) pursuant to Section 14.04(a) or Section 14.04(b), (ii) dividends or distributions paid exclusively in cash as to which the provisions set forth in Section 14.04(d) shall apply, (iii) except as otherwise described in Section 14.11, rights issued pursuant to a stockholder rights plan of the Company, (iv) distributions of Reference Property in a transaction described in Section 14.07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149225</wp:posOffset>
            </wp:positionV>
            <wp:extent cx="1405890" cy="403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058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68"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ectPr>
          <w:pgSz w:w="11900" w:h="16838" w:orient="portrait"/>
          <w:cols w:equalWidth="0" w:num="1">
            <w:col w:w="11000"/>
          </w:cols>
          <w:pgMar w:left="440" w:top="270" w:right="45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ind w:right="6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Stock over the 10 consecutive Trading Day period ending on, and including, the Trading Day immediately preceding the Ex-Dividend Date for such distribution; and</w:t>
      </w:r>
    </w:p>
    <w:p>
      <w:pPr>
        <w:spacing w:after="0" w:line="54" w:lineRule="exact"/>
        <w:rPr>
          <w:sz w:val="20"/>
          <w:szCs w:val="20"/>
          <w:color w:val="auto"/>
        </w:rPr>
      </w:pPr>
    </w:p>
    <w:p>
      <w:pPr>
        <w:sectPr>
          <w:pgSz w:w="11900" w:h="16838" w:orient="portrait"/>
          <w:cols w:equalWidth="0" w:num="2">
            <w:col w:w="260" w:space="520"/>
            <w:col w:w="102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FMV</w:t>
      </w:r>
    </w:p>
    <w:p>
      <w:pPr>
        <w:spacing w:after="0" w:line="20" w:lineRule="exact"/>
        <w:rPr>
          <w:sz w:val="20"/>
          <w:szCs w:val="20"/>
          <w:color w:val="auto"/>
        </w:rPr>
      </w:pPr>
      <w:r>
        <w:rPr>
          <w:sz w:val="20"/>
          <w:szCs w:val="20"/>
          <w:color w:val="auto"/>
        </w:rPr>
        <w:br w:type="column"/>
      </w:r>
    </w:p>
    <w:p>
      <w:pPr>
        <w:ind w:right="44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fair market value (as determined by the Board of Directors) of the Distributed Property with respect to each outstanding share of the Common Stock on the Ex-Dividend Date for such distribution.</w:t>
      </w:r>
    </w:p>
    <w:p>
      <w:pPr>
        <w:spacing w:after="0" w:line="162" w:lineRule="exact"/>
        <w:rPr>
          <w:sz w:val="20"/>
          <w:szCs w:val="20"/>
          <w:color w:val="auto"/>
        </w:rPr>
      </w:pPr>
    </w:p>
    <w:p>
      <w:pPr>
        <w:sectPr>
          <w:pgSz w:w="11900" w:h="16838" w:orient="portrait"/>
          <w:cols w:equalWidth="0" w:num="2">
            <w:col w:w="380" w:space="400"/>
            <w:col w:w="10220"/>
          </w:cols>
          <w:pgMar w:left="440" w:top="270" w:right="459" w:bottom="1440" w:gutter="0" w:footer="0" w:header="0"/>
          <w:type w:val="continuous"/>
        </w:sectPr>
      </w:pPr>
    </w:p>
    <w:p>
      <w:pPr>
        <w:ind w:right="80"/>
        <w:spacing w:after="0" w:line="238"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Common Stock receive the Distributed Property and without having to convert its Note(s), the amount and kind of Distributed Property such Holder would have received if such Holder owned a number of shares of Common Stock equal to the Conversion Rate in effect on the Ex-Dividend Date for the distribution.</w:t>
      </w:r>
    </w:p>
    <w:p>
      <w:pPr>
        <w:spacing w:after="0" w:line="20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142875</wp:posOffset>
            </wp:positionV>
            <wp:extent cx="1491615"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16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end of the Valuation Period;</w:t>
      </w:r>
    </w:p>
    <w:p>
      <w:pPr>
        <w:spacing w:after="0" w:line="117" w:lineRule="exact"/>
        <w:rPr>
          <w:sz w:val="20"/>
          <w:szCs w:val="20"/>
          <w:color w:val="auto"/>
        </w:rPr>
      </w:pPr>
    </w:p>
    <w:p>
      <w:pPr>
        <w:sectPr>
          <w:pgSz w:w="11900" w:h="16838" w:orient="portrait"/>
          <w:cols w:equalWidth="0" w:num="2">
            <w:col w:w="300" w:space="140"/>
            <w:col w:w="105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end of the Valuation Period;</w:t>
      </w:r>
    </w:p>
    <w:p>
      <w:pPr>
        <w:spacing w:after="0" w:line="158" w:lineRule="exact"/>
        <w:rPr>
          <w:sz w:val="20"/>
          <w:szCs w:val="20"/>
          <w:color w:val="auto"/>
        </w:rPr>
      </w:pPr>
    </w:p>
    <w:p>
      <w:pPr>
        <w:sectPr>
          <w:pgSz w:w="11900" w:h="16838" w:orient="portrait"/>
          <w:cols w:equalWidth="0" w:num="2">
            <w:col w:w="300" w:space="140"/>
            <w:col w:w="1056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40" w:hanging="199"/>
        <w:spacing w:after="0" w:line="261"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-654050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60" w:space="420"/>
            <w:col w:w="1010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average of the Last Reported Sale Prices of the Common Stock over the Valuation Period.</w:t>
      </w:r>
    </w:p>
    <w:p>
      <w:pPr>
        <w:spacing w:after="0" w:line="200" w:lineRule="exact"/>
        <w:rPr>
          <w:sz w:val="20"/>
          <w:szCs w:val="20"/>
          <w:color w:val="auto"/>
        </w:rPr>
      </w:pPr>
    </w:p>
    <w:p>
      <w:pPr>
        <w:sectPr>
          <w:pgSz w:w="11900" w:h="16838" w:orient="portrait"/>
          <w:cols w:equalWidth="0" w:num="2">
            <w:col w:w="320" w:space="360"/>
            <w:col w:w="10300"/>
          </w:cols>
          <w:pgMar w:left="440" w:top="270" w:right="479" w:bottom="1440" w:gutter="0" w:footer="0" w:header="0"/>
          <w:type w:val="continuous"/>
        </w:sectPr>
      </w:pPr>
    </w:p>
    <w:p>
      <w:pPr>
        <w:spacing w:after="0" w:line="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any conversion of Notes, for any Trading Day that falls within the relevant Observation Period for such conversion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Valuation Period, the reference to “10” in this Section 14.04(c) related to Spin-Offs shall be deemed replaced with such lesser number of Trading Days as have elapsed from, and including, the Ex-Dividend Date for such Spin-Off to, and including, such Trading Day in the relevant Observation Period for purposes of determining the Conversion Rate as of such Trading Day.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9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7"/>
          <w:szCs w:val="17"/>
          <w:b w:val="1"/>
          <w:bCs w:val="1"/>
          <w:color w:val="auto"/>
        </w:rPr>
        <w:t>Trigger Event</w:t>
      </w:r>
      <w:r>
        <w:rPr>
          <w:rFonts w:ascii="Times New Roman" w:cs="Times New Roman" w:eastAsia="Times New Roman" w:hAnsi="Times New Roman"/>
          <w:sz w:val="17"/>
          <w:szCs w:val="17"/>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type w:val="continuous"/>
        </w:sectPr>
      </w:pPr>
    </w:p>
    <w:bookmarkStart w:id="81" w:name="page82"/>
    <w:bookmarkEnd w:id="8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740" w:hanging="304"/>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8" w:lineRule="exact"/>
        <w:rPr>
          <w:sz w:val="20"/>
          <w:szCs w:val="20"/>
          <w:color w:val="auto"/>
        </w:rPr>
      </w:pPr>
    </w:p>
    <w:p>
      <w:pPr>
        <w:ind w:right="380" w:firstLine="436"/>
        <w:spacing w:after="0" w:line="28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131445</wp:posOffset>
            </wp:positionV>
            <wp:extent cx="1320165" cy="436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01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2" w:name="page83"/>
    <w:bookmarkEnd w:id="82"/>
    <w:tbl>
      <w:tblPr>
        <w:tblLayout w:type="fixed"/>
        <w:tblInd w:w="4"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10000" w:type="dxa"/>
            <w:vAlign w:val="bottom"/>
          </w:tcPr>
          <w:p>
            <w:pPr>
              <w:spacing w:after="0"/>
              <w:rPr>
                <w:sz w:val="20"/>
                <w:szCs w:val="20"/>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Last Reported Sale Price of the Common Stock on the Trading Day immediately preceding the Ex-Dividend Date for such dividend or</w:t>
            </w:r>
          </w:p>
        </w:tc>
      </w:t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and</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hanging="444"/>
        <w:spacing w:after="0"/>
        <w:tabs>
          <w:tab w:leader="none" w:pos="4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Common Stock.</w:t>
      </w:r>
    </w:p>
    <w:p>
      <w:pPr>
        <w:spacing w:after="0" w:line="225" w:lineRule="exact"/>
        <w:rPr>
          <w:sz w:val="20"/>
          <w:szCs w:val="20"/>
          <w:color w:val="auto"/>
        </w:rPr>
      </w:pPr>
    </w:p>
    <w:p>
      <w:pPr>
        <w:ind w:left="4"/>
        <w:spacing w:after="0" w:line="238"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at the same time and upon the same terms as holders of shares of the Common Stock and without having to convert its Note(s), the amount of cash that such Holder would have received if such Holder owned a number of shares of Common Stock equal to the Conversion Rate on the Ex-Dividend Date for such cash dividend or distribution.</w:t>
      </w:r>
    </w:p>
    <w:p>
      <w:pPr>
        <w:spacing w:after="0" w:line="200" w:lineRule="exact"/>
        <w:rPr>
          <w:sz w:val="20"/>
          <w:szCs w:val="20"/>
          <w:color w:val="auto"/>
        </w:rPr>
      </w:pPr>
    </w:p>
    <w:p>
      <w:pPr>
        <w:ind w:left="4" w:right="80" w:firstLine="436"/>
        <w:spacing w:after="0" w:line="258" w:lineRule="auto"/>
        <w:tabs>
          <w:tab w:leader="none" w:pos="6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that is subject to the then-applicable tender offer rules under the Exchange Act, other than an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immediately following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145415</wp:posOffset>
            </wp:positionV>
            <wp:extent cx="1680210" cy="436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02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984"/>
          </w:cols>
          <w:pgMar w:left="436" w:top="270" w:right="47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 Trading Day immediately following the date such tender or exchange offer expires;</w:t>
      </w:r>
    </w:p>
    <w:p>
      <w:pPr>
        <w:spacing w:after="0" w:line="54" w:lineRule="exact"/>
        <w:rPr>
          <w:sz w:val="20"/>
          <w:szCs w:val="20"/>
          <w:color w:val="auto"/>
        </w:rPr>
      </w:pPr>
    </w:p>
    <w:p>
      <w:pPr>
        <w:sectPr>
          <w:pgSz w:w="11900" w:h="16838" w:orient="portrait"/>
          <w:cols w:equalWidth="0" w:num="2">
            <w:col w:w="304" w:space="360"/>
            <w:col w:w="1032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ind w:right="4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 Trading Day immediately following the date such tender or exchange offer expires;</w:t>
      </w:r>
    </w:p>
    <w:p>
      <w:pPr>
        <w:spacing w:after="0" w:line="94" w:lineRule="exact"/>
        <w:rPr>
          <w:sz w:val="20"/>
          <w:szCs w:val="20"/>
          <w:color w:val="auto"/>
        </w:rPr>
      </w:pPr>
    </w:p>
    <w:p>
      <w:pPr>
        <w:sectPr>
          <w:pgSz w:w="11900" w:h="16838" w:orient="portrait"/>
          <w:cols w:equalWidth="0" w:num="2">
            <w:col w:w="304" w:space="360"/>
            <w:col w:w="10320"/>
          </w:cols>
          <w:pgMar w:left="436" w:top="270"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4"/>
          </w:cols>
          <w:pgMar w:left="436" w:top="270" w:right="47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AC</w:t>
      </w:r>
    </w:p>
    <w:p>
      <w:pPr>
        <w:spacing w:after="0" w:line="20" w:lineRule="exact"/>
        <w:rPr>
          <w:sz w:val="20"/>
          <w:szCs w:val="20"/>
          <w:color w:val="auto"/>
        </w:rPr>
      </w:pPr>
      <w:r>
        <w:rPr>
          <w:sz w:val="20"/>
          <w:szCs w:val="20"/>
          <w:color w:val="auto"/>
        </w:rPr>
        <w:br w:type="column"/>
      </w:r>
    </w:p>
    <w:p>
      <w:pPr>
        <w:ind w:right="26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aggregate value of all cash and any other consideration (as determined by the Board of Directors) paid or payable for shares of Common Stock purchased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-391160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0" w:space="420"/>
            <w:col w:w="1034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12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54" w:lineRule="exact"/>
        <w:rPr>
          <w:sz w:val="20"/>
          <w:szCs w:val="20"/>
          <w:color w:val="auto"/>
        </w:rPr>
      </w:pPr>
    </w:p>
    <w:p>
      <w:pPr>
        <w:sectPr>
          <w:pgSz w:w="11900" w:h="16838" w:orient="portrait"/>
          <w:cols w:equalWidth="0" w:num="2">
            <w:col w:w="300" w:space="360"/>
            <w:col w:w="103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ind w:right="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54" w:lineRule="exact"/>
        <w:rPr>
          <w:sz w:val="20"/>
          <w:szCs w:val="20"/>
          <w:color w:val="auto"/>
        </w:rPr>
      </w:pPr>
    </w:p>
    <w:p>
      <w:pPr>
        <w:sectPr>
          <w:pgSz w:w="11900" w:h="16838" w:orient="portrait"/>
          <w:cols w:equalWidth="0" w:num="2">
            <w:col w:w="280" w:space="380"/>
            <w:col w:w="103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p>
    <w:p>
      <w:pPr>
        <w:spacing w:after="0" w:line="20" w:lineRule="exact"/>
        <w:rPr>
          <w:sz w:val="20"/>
          <w:szCs w:val="20"/>
          <w:color w:val="auto"/>
        </w:rPr>
      </w:pPr>
      <w:r>
        <w:rPr>
          <w:sz w:val="20"/>
          <w:szCs w:val="20"/>
          <w:color w:val="auto"/>
        </w:rPr>
        <w:br w:type="column"/>
      </w:r>
    </w:p>
    <w:p>
      <w:pPr>
        <w:ind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Stock over the 10 consecutive Trading Day period commencing on, and including, the Trading Day immediately following the date such tender or exchange offer expires.</w:t>
      </w:r>
    </w:p>
    <w:p>
      <w:pPr>
        <w:spacing w:after="0" w:line="162" w:lineRule="exact"/>
        <w:rPr>
          <w:sz w:val="20"/>
          <w:szCs w:val="20"/>
          <w:color w:val="auto"/>
        </w:rPr>
      </w:pPr>
    </w:p>
    <w:p>
      <w:pPr>
        <w:sectPr>
          <w:pgSz w:w="11900" w:h="16838" w:orient="portrait"/>
          <w:cols w:equalWidth="0" w:num="2">
            <w:col w:w="260" w:space="400"/>
            <w:col w:w="10340"/>
          </w:cols>
          <w:pgMar w:left="440" w:top="270" w:right="459" w:bottom="1440" w:gutter="0" w:footer="0" w:header="0"/>
          <w:type w:val="continuous"/>
        </w:sect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immediately following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any conversion of Notes, for any Trading Day that falls within the relevant Observation Period for such conversion and within the 10 Trading Days immediately following, and including, the Trading Day immediately following the expiration date of any tender or exchange offer, references “10” or “10th” in this Section 14.04(e) shall be deemed replaced with such lesser number of Trading Days as have elapsed from, and including, the Trading Day next succeeding the date such tender or exchange offer expires to, and including, such Trading Day in the relevant Observation Period for purposes of determining the Conversion Rate as of such Trading Day. If the Company is obligated to purchase the Common Stock pursuant to any such tender or exchange offer described in this Section 14.04(e) but the Company is permanently prevented by applicable law from effecting any such purchase or all such purchases are rescinded, then the Conversion Rate shall be decreased to be the Conversion Rate that would then be in effect if such tender or exchange offer had not been made or had been made only in respect of the purchases that have been effected.</w:t>
      </w:r>
    </w:p>
    <w:p>
      <w:pPr>
        <w:spacing w:after="0" w:line="192" w:lineRule="exact"/>
        <w:rPr>
          <w:sz w:val="20"/>
          <w:szCs w:val="20"/>
          <w:color w:val="auto"/>
        </w:rPr>
      </w:pPr>
    </w:p>
    <w:p>
      <w:pPr>
        <w:ind w:left="660" w:hanging="224"/>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type w:val="continuous"/>
        </w:sectPr>
      </w:pPr>
    </w:p>
    <w:bookmarkStart w:id="84" w:name="page85"/>
    <w:bookmarkEnd w:id="84"/>
    <w:p>
      <w:pPr>
        <w:ind w:firstLine="436"/>
        <w:spacing w:after="0" w:line="271" w:lineRule="auto"/>
        <w:tabs>
          <w:tab w:leader="none" w:pos="69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mail to the Holder of each Note at its last address appearing on the Note Register a notice of the increase at least 15 days prior to the date the increased Conversion Rate takes effect, and such notice shall state the increased Conversion Rate and the period during which it will be in effect.</w:t>
      </w:r>
    </w:p>
    <w:p>
      <w:pPr>
        <w:spacing w:after="0" w:line="173"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312" w:lineRule="auto"/>
        <w:tabs>
          <w:tab w:leader="none" w:pos="107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shares of Common Stock pursuant to any present or future plan providing for the reinvestment of dividends or any interest payable on the Company’s securities and the investment of additional optional amounts in shares of Common Stock under any plan;</w:t>
      </w:r>
    </w:p>
    <w:p>
      <w:pPr>
        <w:spacing w:after="0" w:line="31" w:lineRule="exact"/>
        <w:rPr>
          <w:rFonts w:ascii="Times New Roman" w:cs="Times New Roman" w:eastAsia="Times New Roman" w:hAnsi="Times New Roman"/>
          <w:sz w:val="17"/>
          <w:szCs w:val="17"/>
          <w:color w:val="auto"/>
        </w:rPr>
      </w:pPr>
    </w:p>
    <w:p>
      <w:pPr>
        <w:ind w:left="440" w:right="640" w:firstLine="419"/>
        <w:spacing w:after="0" w:line="282" w:lineRule="auto"/>
        <w:tabs>
          <w:tab w:leader="none" w:pos="112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 (other than any rights plan as described in Section 14.11);</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shares of Common Stock pursuant to an open-market share repurchase program or other buy-back transaction that is not a tender offer or exchange offer of the nature described in Section 14.04(e);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Stock;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an adjustment pursuant to clauses (a), (b), (c), (d) or (e) of this Section 14.04 unless such adjustment would result in a change of at least 1% of the then effective Conversion Rate. However, the Company shall carry forward any adjustment that the Company would otherwise have to make and take that adjustment into account in any subsequent adjustment. Notwithstanding the foregoing, all such carried-forward adjustments shall be made (i) in connection with any subsequent adjustment to the Conversion Rate of at least 1% of the Conversion Rate (when such carried-forward adjustments are taken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5" w:name="page86"/>
    <w:bookmarkEnd w:id="85"/>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account) and (ii) on the Conversion Date for (in the case of any conversion following the replacement of the Common Stock by Reference Property consisting solely of cash), or each Trading Day of any Observation Period for, any Note. All calculations and other determinations under this Article 14 shall be made by the Company and shall be made to the nearest one-ten thousandth (1/10,000) of a share.</w:t>
      </w:r>
    </w:p>
    <w:p>
      <w:pPr>
        <w:spacing w:after="0" w:line="176" w:lineRule="exact"/>
        <w:rPr>
          <w:sz w:val="20"/>
          <w:szCs w:val="20"/>
          <w:color w:val="auto"/>
        </w:rPr>
      </w:pPr>
    </w:p>
    <w:p>
      <w:pPr>
        <w:ind w:right="60" w:firstLine="436"/>
        <w:spacing w:after="0" w:line="254"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each Holder at its last address appearing on the Note Register of this Indenture. Failure to deliver such notice shall not affect the legality or validity of any such adjustment.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if any, for determining the Stock Price for purposes of a Make-Whole Fundamental Change), the Company shall make appropriate adjustments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the Daily Net Settlement Amounts or the Daily Settlement Amounts are to be calculated.</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delivery upon conversion of the Notes of a number of shares of Common Stock per $1,000 principal amount of Notes equal to the Maximum Conversion Rate).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p>
      <w:pPr>
        <w:spacing w:after="0" w:line="119" w:lineRule="exact"/>
        <w:rPr>
          <w:sz w:val="20"/>
          <w:szCs w:val="20"/>
          <w:color w:val="auto"/>
        </w:rPr>
      </w:pPr>
    </w:p>
    <w:p>
      <w:pPr>
        <w:ind w:left="680" w:hanging="244"/>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 combination),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or combination involving the Company,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7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then, at and after the effective time of such Specified Transaction,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Specified Transaction would have owned or been entitled to receive upon such Specified Transaction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Common Stock is entitled to receive) and, prior to or at the effective time of such Specified Transaction, the Company or the successor or purchasing Person, as the case may be, shall execute with the Trustee a supplemental indenture permitted under Section 10.01(k)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such Specified Transaction (A) the amount otherwise payable in cash upon conversion of the Notes in accordance with Section 14.02 shall continue to be payable in cash; (B) the Company or the successor or purchasing Person, as the case may be, shall continue to have the right to elect to determine the form of consideration to be paid or delivered, as the case may be, in respect of the remainder, if any, of the Conversion Obligation in excess of the aggregate principal amount of the Notes being converted in accordance with Section 14.02; (C) the number of shares of Common Stock, if any, otherwise deliverable upon conversion of the Notes in accordance with Section 14.02 shall instead be deliverable in the amount and type of Reference Property that a holder of that number of shares of Common Stock would have received in such Specified Transaction and (D) the Daily VWAP shall be calculated based on the value of a unit of Reference Property.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68" w:right="499" w:bottom="1440" w:gutter="0" w:footer="0" w:header="0"/>
        </w:sectPr>
      </w:pPr>
    </w:p>
    <w:bookmarkStart w:id="87" w:name="page88"/>
    <w:bookmarkEnd w:id="8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Specified Transaction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of such weighted average as soon as practicable after such determination is made. If the holders of Common Stock receive only cash in such Specified Transaction, then for all conversions that occur after the effective date of such Specified Transaction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Specified Transaction and (B) the Company shall satisfy the Conversion Obligation by paying cash to converting Holders on the second Business Day immediately following the relevant Conversion Date.</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Such supplemental indenture described in the second immediately preceding paragraph shall provide for anti-dilution and other adjustments that shall be as nearly equivalent as is possible to the adjustments provided for in this Article 14. If, in the case of any Specified Transaction, the Reference Property includes shares of stock, securities or other property or assets (including cash or any combination thereof) of a Person other than the Company or the successor or purchasing corporation, as the case may be, in such Specified Transaction, then such supplemental indenture shall also be executed by such other Person and shall contain such additional provisions to protect the interests of the Holders of the Notes as the Board of Directors shall reasonably consider necessary by reason of the foregoing, including the provisions providing for the purchase rights set forth in Article 15.</w:t>
      </w:r>
    </w:p>
    <w:p>
      <w:pPr>
        <w:spacing w:after="0" w:line="187" w:lineRule="exact"/>
        <w:rPr>
          <w:sz w:val="20"/>
          <w:szCs w:val="20"/>
          <w:color w:val="auto"/>
        </w:rPr>
      </w:pPr>
    </w:p>
    <w:p>
      <w:pPr>
        <w:ind w:right="80" w:firstLine="436"/>
        <w:spacing w:after="0" w:line="255"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Specified Transaction, any adjustment to be made with respect thereto and that all conditions precedent have been complied with and an Opinion of Counsel stating that all conditions precedent have been complied with, and shall promptly mail notice thereof to all Holders. The Company shall cause notice of the execution of such supplemental indenture to be mailed to each Holder, at its address appearing on the Note Register provided for in this Indenture, within 20 days after execution thereof. Failure to deliver such notice shall not affect the legality or validity of such supplemental indenture.</w:t>
      </w:r>
    </w:p>
    <w:p>
      <w:pPr>
        <w:spacing w:after="0" w:line="188" w:lineRule="exact"/>
        <w:rPr>
          <w:rFonts w:ascii="Times New Roman" w:cs="Times New Roman" w:eastAsia="Times New Roman" w:hAnsi="Times New Roman"/>
          <w:sz w:val="18"/>
          <w:szCs w:val="18"/>
          <w:color w:val="auto"/>
        </w:rPr>
      </w:pPr>
    </w:p>
    <w:p>
      <w:pPr>
        <w:ind w:right="220" w:firstLine="436"/>
        <w:spacing w:after="0" w:line="266"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Specified Transaction unless its terms are consistent with this Section 14.07. None of the foregoing provisions shall affect the right of a Holder to convert its Notes into cash and shares of Common Stock, if any, as set forth in Section 14.01 and Section 14.02 prior to the effective date of such Specified Transaction.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Specified Transactions.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88" w:name="page89"/>
    <w:bookmarkEnd w:id="88"/>
    <w:p>
      <w:pPr>
        <w:ind w:right="40" w:firstLine="436"/>
        <w:spacing w:after="0" w:line="282"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consummation of any Specified Transaction, references to “Common Stock” shall be deemed to refer to any Reference Property that constitutes Common Equity after giving effect to such Specified Transaction.</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Common Stock issued upon conversion of Notes will be fully paid and non-assessable by the Company and free from all taxes, liens and charges with respect to the issuance thereof.</w:t>
      </w:r>
    </w:p>
    <w:p>
      <w:pPr>
        <w:spacing w:after="0" w:line="160" w:lineRule="exact"/>
        <w:rPr>
          <w:sz w:val="20"/>
          <w:szCs w:val="20"/>
          <w:color w:val="auto"/>
        </w:rPr>
      </w:pPr>
    </w:p>
    <w:p>
      <w:pPr>
        <w:ind w:right="160" w:firstLine="436"/>
        <w:spacing w:after="0" w:line="261"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ind w:right="500" w:firstLine="436"/>
        <w:spacing w:after="0" w:line="266"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7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and Opinion of Counsel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89" w:name="page90"/>
    <w:bookmarkEnd w:id="89"/>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p>
      <w:pPr>
        <w:spacing w:after="0" w:line="223" w:lineRule="exact"/>
        <w:rPr>
          <w:sz w:val="20"/>
          <w:szCs w:val="20"/>
          <w:color w:val="auto"/>
        </w:rPr>
      </w:pPr>
    </w:p>
    <w:p>
      <w:pPr>
        <w:ind w:right="40" w:firstLine="436"/>
        <w:spacing w:after="0" w:line="254"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surrender, on or prior to the second Business Day immediately following the Conversion Date, such Notes to a financial institution designated by the Company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 must agree to timely pay and deliver, as the case may be, in exchange for such Notes, cash up to the aggregate principal amount of such Notes and cash, shares of Common Stock or combination thereof, at the Company’s election, in respect of the remainder, if any, of the Conversion Obligation in excess of the aggregate principal amount of such Notes that would otherwise be due upon conversion pursuant to</w:t>
      </w:r>
    </w:p>
    <w:p>
      <w:pPr>
        <w:spacing w:after="0" w:line="3" w:lineRule="exact"/>
        <w:rPr>
          <w:rFonts w:ascii="Times New Roman" w:cs="Times New Roman" w:eastAsia="Times New Roman" w:hAnsi="Times New Roman"/>
          <w:sz w:val="18"/>
          <w:szCs w:val="18"/>
          <w:color w:val="auto"/>
        </w:rPr>
      </w:pPr>
    </w:p>
    <w:p>
      <w:pPr>
        <w:ind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 or such other amount agreed to by the Holder and the Designated Financial Institution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the Company shall, by the close of business on the second Business Day following the relevant Conversion Date, notify in writing the Holder surrendering its Notes for conversion, the Trustee and the Conversion Agent (if other than the Trustee) that the Company has made the Exchange Election, and the Company shall promptly notify the Designated Financial Institution of the relevant deadline for delivery of the Conversion Consideration and the applicable Cash Percentage.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0" w:name="page91"/>
    <w:bookmarkEnd w:id="90"/>
    <w:p>
      <w:pPr>
        <w:ind w:right="40" w:firstLine="436"/>
        <w:spacing w:after="0" w:line="258"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Notes delivered to the Designated Financial Institution shall remain outstanding, subject to the applicable procedures of the Depositary. If the Designated Financial Institution agrees to accept any Notes for exchange but does not timely pay and deliver, as the case may be, the related Conversion Consideration, or if such Designated Financial Institution does not accept the Notes for exchange, the Company shall pay and deliver, as the case may be, the relevant Conversion Consideration, as, and at the time, required pursuant to this Indenture as if the Company had not made an Exchange Election.</w:t>
      </w:r>
    </w:p>
    <w:p>
      <w:pPr>
        <w:spacing w:after="0" w:line="183"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 to which the Notes may be submitted for exchange does not require such Designated Financial Institution to accept any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r>
        <w:rPr>
          <w:rFonts w:ascii="Times New Roman" w:cs="Times New Roman" w:eastAsia="Times New Roman" w:hAnsi="Times New Roman"/>
          <w:sz w:val="18"/>
          <w:szCs w:val="18"/>
          <w:color w:val="auto"/>
        </w:rPr>
        <w:t xml:space="preserve"> (a) If a Fundamental Change occurs at any time prior to the Maturity Date, each Holder shall have the right, at such Holder’s option, to require the Company to repurchase for cash all of such Holder’s Notes, or any portion thereof that is equal to a minimum of $1,000 principal amount or a multiple of $1,000 in excess thereof, on the date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Repurchase Date</w:t>
      </w:r>
      <w:r>
        <w:rPr>
          <w:rFonts w:ascii="Times New Roman" w:cs="Times New Roman" w:eastAsia="Times New Roman" w:hAnsi="Times New Roman"/>
          <w:sz w:val="18"/>
          <w:szCs w:val="18"/>
          <w:color w:val="auto"/>
        </w:rPr>
        <w:t>”) specified by the Company that is not less than 20 calendar days or more than 35 calendar days following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Special Interest, if any,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Holders of record as of such Special Interest Record Date, and the Fundamental Change Repurchase Price shall be equal to 100% of the principal amount of Notes to be repurchased pursuant to this Section 15.02. To the extent that the provisions of any securities laws or regulations enacted or adopted conflict with the provisions set forth in this Article 15 relating to the Company’s obligation to repurchase Notes upon a Fundamental Change, the Company shall comply with the applicable securities laws and regulations and shall not be deemed to have breached its obligations under this Article 15 relating to the repurchase of Notes upon a Fundamental Change by virtue of such conflict.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repurchase, or to make an offer to repurchase, the Notes upon a Fundamental Change if a third party makes such an offer in the same manner, at the same time and otherwise in compliance with the requirements for an offer made by the Company upon a Fundamental Change as set forth in this Article 15 and such third party purchases all Notes properly surrendered and not validly withdrawn under its offer in the same manner, at the same time and otherwise in compliance with the requirements for an offer made by the Company upon a Fundamental Change as set forth in this Article 15.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1" w:name="page92"/>
    <w:bookmarkEnd w:id="91"/>
    <w:p>
      <w:pPr>
        <w:ind w:left="700" w:hanging="264"/>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of Notes under this Section 15.02 shall be made, at the option of the Holder thereof, upon:</w:t>
      </w:r>
    </w:p>
    <w:p>
      <w:pPr>
        <w:spacing w:after="0" w:line="113"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0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the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72"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address of the Paying Agent set forth in the relevant Fundamental Change Company Notice, or book-entry transfer of the Notes, if the Notes are Global Notes, in compliance with the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Fundamental Change Repurchase Notice shall state:</w:t>
      </w:r>
    </w:p>
    <w:p>
      <w:pPr>
        <w:spacing w:after="0" w:line="117" w:lineRule="exact"/>
        <w:rPr>
          <w:sz w:val="20"/>
          <w:szCs w:val="20"/>
          <w:color w:val="auto"/>
        </w:rPr>
      </w:pPr>
    </w:p>
    <w:p>
      <w:pPr>
        <w:ind w:left="1080" w:hanging="221"/>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delivered for repurchase;</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a minimum of $1,000 or a multiple of $1,000 in excess thereof;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Fundamental Change Repurchase Notice must comply with appropriate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w:t>
      </w:r>
    </w:p>
    <w:p>
      <w:pPr>
        <w:spacing w:after="0" w:line="16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Notice or written notice of withdrawal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2" w:name="page93"/>
    <w:bookmarkEnd w:id="92"/>
    <w:p>
      <w:pPr>
        <w:ind w:right="60" w:firstLine="436"/>
        <w:spacing w:after="0" w:line="258"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the 20th Business Day after the occurrence of a Fundamental Change, the Company shall provide to all Holders of Notes and the Trustee and the Paying Agent (in the case of a Paying Agent other than the Trustee) a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Fundamental Change;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 15.02;</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 pursuant to this Section 15.02.</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such Fundamental Change Company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 and such request shall be made by the Company at least five Business Days (or such shorter period as may be agreed to by the Trustee) prior to the date such Fundamental Change Company Notice is required to be sent to Holders.</w:t>
      </w:r>
    </w:p>
    <w:p>
      <w:pPr>
        <w:spacing w:after="0" w:line="180" w:lineRule="exact"/>
        <w:rPr>
          <w:sz w:val="20"/>
          <w:szCs w:val="20"/>
          <w:color w:val="auto"/>
        </w:rPr>
      </w:pPr>
    </w:p>
    <w:p>
      <w:pPr>
        <w:jc w:val="both"/>
        <w:ind w:right="200" w:firstLine="436"/>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3" w:name="page94"/>
    <w:bookmarkEnd w:id="9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canceled, and, upon such return or cancellation, as the case may be, the Fundamental Change Repurchase Notice with respect thereto shall be deemed to have been withdrawn.</w:t>
      </w:r>
    </w:p>
    <w:p>
      <w:pPr>
        <w:spacing w:after="0" w:line="181"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by means of a written notice of withdrawal delivered to the Paying Agent in accordance with this Section 15.03 at any time prior to the close of business on the Business Day immediately preceding the Fundamental Change Repurchase Date specifying:</w:t>
      </w:r>
    </w:p>
    <w:p>
      <w:pPr>
        <w:spacing w:after="0" w:line="67" w:lineRule="exact"/>
        <w:rPr>
          <w:sz w:val="20"/>
          <w:szCs w:val="20"/>
          <w:color w:val="auto"/>
        </w:rPr>
      </w:pPr>
    </w:p>
    <w:p>
      <w:pPr>
        <w:ind w:left="1080" w:hanging="221"/>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 of the Note in respect of which such notice of withdrawal is being submitted,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40" w:right="220" w:firstLine="419"/>
        <w:spacing w:after="0" w:line="282" w:lineRule="auto"/>
        <w:tabs>
          <w:tab w:leader="none" w:pos="11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a minimum principal amount of $1,000 or a multiple of $1,000 in excess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notice must comply with appropriate procedures of the Depositary.</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pursuant to Section 15.03)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(or other Paying Agent appointed by the Company) shall, promptly after such payment and upon written demand by the Company, return to the Company any funds in excess of the Fundamental Change Repurchase Price.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4" w:name="page95"/>
    <w:bookmarkEnd w:id="94"/>
    <w:p>
      <w:pPr>
        <w:ind w:firstLine="436"/>
        <w:spacing w:after="0" w:line="255"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in accordance with the provisions of this Indenture, (i) such Notes will cease to be outstanding, (ii) Special Interest, if any, will cease to accrue on such Notes (whether or not book-entry transfer of the Notes has been made or the Notes have been delivered to the Trustee or Paying Agent) and (iii) all other rights of the Holders of such Notes will terminate on the Fundamental Change Repurchase Date (other than the right to receive the Fundamental Change Repurchase Price).</w:t>
      </w:r>
    </w:p>
    <w:p>
      <w:pPr>
        <w:spacing w:after="0" w:line="188"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Physical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the Company will, if required:</w:t>
      </w:r>
    </w:p>
    <w:p>
      <w:pPr>
        <w:spacing w:after="0" w:line="160" w:lineRule="exact"/>
        <w:rPr>
          <w:sz w:val="20"/>
          <w:szCs w:val="20"/>
          <w:color w:val="auto"/>
        </w:rPr>
      </w:pPr>
    </w:p>
    <w:p>
      <w:pPr>
        <w:ind w:left="680" w:hanging="244"/>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Rule 13e-4, Rule 14e-1 and any other tender offer rules under the Exchange Act;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federal and state securities laws in connection with any offer by the Company to repurchase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20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No Optional Redemption</w:t>
      </w:r>
      <w:r>
        <w:rPr>
          <w:rFonts w:ascii="Times New Roman" w:cs="Times New Roman" w:eastAsia="Times New Roman" w:hAnsi="Times New Roman"/>
          <w:sz w:val="18"/>
          <w:szCs w:val="18"/>
          <w:color w:val="auto"/>
        </w:rPr>
        <w:t>. The Notes shall not be redeemable by the Company prior to the Maturity Date, and no sinking fund is provided for the Notes.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95" w:name="page96"/>
    <w:bookmarkEnd w:id="95"/>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17.02</w:t>
      </w:r>
      <w:r>
        <w:rPr>
          <w:rFonts w:ascii="Times New Roman" w:cs="Times New Roman" w:eastAsia="Times New Roman" w:hAnsi="Times New Roman"/>
          <w:sz w:val="18"/>
          <w:szCs w:val="18"/>
          <w:i w:val="1"/>
          <w:iCs w:val="1"/>
          <w:color w:val="auto"/>
        </w:rPr>
        <w:t>. Official Acts by Successor Corporation.</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made by the Trustee or by the Holders on the Company shall be deemed to have been sufficiently given or made, for all purposes if given or made by being deposited postage prepaid by registered or certified mail in a post office letter box addressed (until another address is filed by the Company with the Trustee) to Akamai Technologies, Inc., 145 Broadway, Cambridge, Massachusetts 02142, Attention: General Counsel. Any notice, direction, request or demand hereunder to or upon the Trustee shall be deemed to have been sufficiently given or made, for all purposes, if given or made by being deposited postage prepaid by registered or certified mail in a post office letter box addressed to the Corporate Trust Office or sent electronically in PDF format and, in each case, upon actual receipt by the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notice or communication mailed to a Holder shall be mailed to it by first class mail, postage prepaid, at its address as it appears on the Note Register and shall be sufficiently given to it if so mailed within the time prescribed;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notices given to Holders of Global Notes may be given electronically through the facilities of the Depositary.</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62"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38"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8" w:right="459" w:bottom="1440" w:gutter="0" w:footer="0" w:header="0"/>
        </w:sectPr>
      </w:pPr>
    </w:p>
    <w:bookmarkStart w:id="96" w:name="page97"/>
    <w:bookmarkEnd w:id="96"/>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Each Officer’s Certificate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thereto have been complied with.</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(and refrain from acting until it receives), such Opinion of Counsel.</w:t>
      </w:r>
    </w:p>
    <w:p>
      <w:pPr>
        <w:spacing w:after="0" w:line="17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Special Interest Payment Date, Fundamental Change Repurchase Date or Maturity Date is not a Business Day, then any action to be taken on such date need not be taken on such date, but may be taken on the next succeeding Business Day with the same force and effect as if taken on such date, and no Special Interest, if and to the extent Special Interest is otherwise payable on such date, shall accrue in respect of the delay.</w:t>
      </w:r>
    </w:p>
    <w:p>
      <w:pPr>
        <w:spacing w:after="0" w:line="180"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7" w:name="page98"/>
    <w:bookmarkEnd w:id="97"/>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68" w:right="459" w:bottom="1440" w:gutter="0" w:footer="0" w:header="0"/>
        </w:sectPr>
      </w:pPr>
    </w:p>
    <w:bookmarkStart w:id="98" w:name="page99"/>
    <w:bookmarkEnd w:id="98"/>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 Electronic Signatures.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The words “execution,” “signed,”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 Without limitation to the foregoing, and anything in this Indenture to the contrary notwithstanding, (a) any Officer’s Certificate, Opinion of Counsel, any Note, notice or other certificate, opinion of counsel, instrument, agreement or other document delivered pursuant to this Indenture may be executed, attested and transmitted by any of the foregoing electronic means and formats and (b) all references to the execution, attestation or authentication of any Note or any certificate of authentication appearing on or attached to any Note by means of a manual or facsimile signature shall be deemed to include signatures that are made or transmitted by any of the foregoing electronic means or formats. All notices, approvals, consents, requests and any communications hereunder must be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communication sent to Trustee hereunder that is required to be signed must be in the form of a document that is signed manually or by any of the electronic means or formats described above)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99" w:name="page100"/>
    <w:bookmarkEnd w:id="99"/>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right="560" w:firstLine="440"/>
        <w:spacing w:after="0" w:line="290" w:lineRule="auto"/>
        <w:rPr>
          <w:sz w:val="20"/>
          <w:szCs w:val="20"/>
          <w:color w:val="auto"/>
        </w:rPr>
      </w:pPr>
      <w:r>
        <w:rPr>
          <w:rFonts w:ascii="Times New Roman" w:cs="Times New Roman" w:eastAsia="Times New Roman" w:hAnsi="Times New Roman"/>
          <w:sz w:val="17"/>
          <w:szCs w:val="17"/>
          <w:color w:val="auto"/>
        </w:rPr>
        <w:t>Section 17.13</w:t>
      </w:r>
      <w:r>
        <w:rPr>
          <w:rFonts w:ascii="Times New Roman" w:cs="Times New Roman" w:eastAsia="Times New Roman" w:hAnsi="Times New Roman"/>
          <w:sz w:val="17"/>
          <w:szCs w:val="17"/>
          <w:i w:val="1"/>
          <w:iCs w:val="1"/>
          <w:color w:val="auto"/>
        </w:rPr>
        <w:t>. Waiver of Jury Trial.</w:t>
      </w:r>
      <w:r>
        <w:rPr>
          <w:rFonts w:ascii="Times New Roman" w:cs="Times New Roman" w:eastAsia="Times New Roman" w:hAnsi="Times New Roman"/>
          <w:sz w:val="17"/>
          <w:szCs w:val="17"/>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the Notes. These calculations include, but are not limited to, determinations of the Stock Price, the Last Reported Sale Prices of the Common Stock, the Daily VWAPs, the Daily Conversion Values, the Daily Net Settlement Amounts, the Daily Settlement Amounts, any accrued Special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(in all of its capacities),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68"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80" w:firstLine="419"/>
        <w:spacing w:after="0" w:line="266"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58"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102" w:name="page103"/>
    <w:bookmarkEnd w:id="102"/>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PURSUANT TO A REGISTRATION STATEMENT THAT HAS BECOME EFFECTIVE UNDER THE SECURITIES ACT,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980" w:right="240" w:firstLine="408"/>
        <w:spacing w:after="0" w:line="282" w:lineRule="auto"/>
        <w:tabs>
          <w:tab w:leader="none" w:pos="16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AKAMAI TECHNOLOGIES, INC. OR PERSON THAT HAS BEEN AN AFFILIATE (AS DEFINED IN RULE 144 UNDER THE SECURITIES ACT) OF AKAMAI TECHNOLOGIES, INC. DURING THE IMMEDIATELY PRECEDING THREE MONTHS MAY PURCHASE, OTHERWISE ACQUIRE OR HOLD THIS SECURITY OR A BENEFICIAL INTEREST HEREIN.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103" w:name="page104"/>
    <w:bookmarkEnd w:id="103"/>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Akamai Technologies,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0.00% Convertible Senior Note due 2030</w:t>
      </w:r>
    </w:p>
    <w:p>
      <w:pPr>
        <w:sectPr>
          <w:pgSz w:w="11900" w:h="16838" w:orient="portrait"/>
          <w:cols w:equalWidth="0" w:num="1">
            <w:col w:w="11004"/>
          </w:cols>
          <w:pgMar w:left="436" w:top="270" w:right="459" w:bottom="1440" w:gutter="0" w:footer="0" w:header="0"/>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$[_________]</w:t>
      </w:r>
    </w:p>
    <w:p>
      <w:pPr>
        <w:spacing w:after="0" w:line="200" w:lineRule="exact"/>
        <w:rPr>
          <w:sz w:val="20"/>
          <w:szCs w:val="20"/>
          <w:color w:val="auto"/>
        </w:rPr>
      </w:pPr>
    </w:p>
    <w:p>
      <w:pPr>
        <w:sectPr>
          <w:pgSz w:w="11900" w:h="16838" w:orient="portrait"/>
          <w:cols w:equalWidth="0" w:num="2">
            <w:col w:w="5024" w:space="720"/>
            <w:col w:w="5260"/>
          </w:cols>
          <w:pgMar w:left="436" w:top="270" w:right="4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No. [________]</w:t>
      </w:r>
    </w:p>
    <w:p>
      <w:pPr>
        <w:sectPr>
          <w:pgSz w:w="11900" w:h="16838" w:orient="portrait"/>
          <w:cols w:equalWidth="0" w:num="1">
            <w:col w:w="11004"/>
          </w:cols>
          <w:pgMar w:left="436" w:top="270" w:right="459" w:bottom="1440" w:gutter="0" w:footer="0" w:header="0"/>
          <w:type w:val="continuous"/>
        </w:sectPr>
      </w:pPr>
    </w:p>
    <w:p>
      <w:pPr>
        <w:spacing w:after="0" w:line="233" w:lineRule="exact"/>
        <w:rPr>
          <w:sz w:val="20"/>
          <w:szCs w:val="20"/>
          <w:color w:val="auto"/>
        </w:rPr>
      </w:pPr>
    </w:p>
    <w:p>
      <w:pPr>
        <w:ind w:left="4" w:right="80" w:firstLine="440"/>
        <w:spacing w:after="0" w:line="226" w:lineRule="auto"/>
        <w:rPr>
          <w:sz w:val="20"/>
          <w:szCs w:val="20"/>
          <w:color w:val="auto"/>
        </w:rPr>
      </w:pPr>
      <w:r>
        <w:rPr>
          <w:rFonts w:ascii="Times New Roman" w:cs="Times New Roman" w:eastAsia="Times New Roman" w:hAnsi="Times New Roman"/>
          <w:sz w:val="18"/>
          <w:szCs w:val="18"/>
          <w:color w:val="auto"/>
        </w:rPr>
        <w:t>Akamai Technologies,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[_______]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[of</w:t>
      </w:r>
    </w:p>
    <w:p>
      <w:pPr>
        <w:ind w:left="4"/>
        <w:spacing w:after="0" w:line="180" w:lineRule="auto"/>
        <w:rPr>
          <w:sz w:val="20"/>
          <w:szCs w:val="20"/>
          <w:color w:val="auto"/>
        </w:rPr>
      </w:pPr>
      <w:r>
        <w:rPr>
          <w:rFonts w:ascii="Times New Roman" w:cs="Times New Roman" w:eastAsia="Times New Roman" w:hAnsi="Times New Roman"/>
          <w:sz w:val="17"/>
          <w:szCs w:val="17"/>
          <w:color w:val="auto"/>
        </w:rPr>
        <w:t>$[_______]]</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w:t>
      </w:r>
    </w:p>
    <w:p>
      <w:pPr>
        <w:spacing w:after="0" w:line="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exceed $1,750,000,000 in aggregate at any time, in accordance with the rules and procedures of the Depositary, on May 15, 2030, and Special Interest, if any, thereon as set forth below.</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This Note shall not bear regular interest, and the principal amount shall not accrete. Any Special Interest on this Note is payable semi-annually in arrears on each May 15 and November 15, commencing on November 15, 2026 (if any Special Interest is then payable), to Holders of record at the close of business on the preceding May 1 and November 1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and/or to any interest on any Defaulted Amounts payable as set forth in Section 2.03(c) of the within-mentioned Indenture.</w:t>
      </w:r>
    </w:p>
    <w:p>
      <w:pPr>
        <w:spacing w:after="0" w:line="18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Any Defaulted Amounts shall not accrue interest unless Special Interest was payable on the required payment date, in which case such Defaulted Amounts shall accrue interest per annum at the then-applicable Special Interest rate borne by the Notes from, and including, the relevant payment date to, but excluding, the date on which such Defaulted Amounts shall have been paid by the Company, at its election, in accordance with Section 2.03(c) of the Indenture.</w:t>
      </w:r>
    </w:p>
    <w:p>
      <w:pPr>
        <w:spacing w:after="0" w:line="180"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pay the principal of and Special Interest, if any,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designated office in the United States of America as a place where Notes may be presented for payment or for registration of transfer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ind w:left="424" w:hanging="424"/>
        <w:spacing w:after="0" w:line="180" w:lineRule="auto"/>
        <w:tabs>
          <w:tab w:leader="none" w:pos="424" w:val="left"/>
        </w:tabs>
        <w:numPr>
          <w:ilvl w:val="0"/>
          <w:numId w:val="9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0" w:lineRule="auto"/>
        <w:tabs>
          <w:tab w:leader="none" w:pos="424" w:val="left"/>
        </w:tabs>
        <w:numPr>
          <w:ilvl w:val="0"/>
          <w:numId w:val="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ind w:left="424" w:hanging="424"/>
        <w:spacing w:after="0" w:line="180" w:lineRule="auto"/>
        <w:tabs>
          <w:tab w:leader="none" w:pos="424" w:val="left"/>
        </w:tabs>
        <w:numPr>
          <w:ilvl w:val="0"/>
          <w:numId w:val="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1" w:lineRule="auto"/>
        <w:tabs>
          <w:tab w:leader="none" w:pos="424" w:val="left"/>
        </w:tabs>
        <w:numPr>
          <w:ilvl w:val="0"/>
          <w:numId w:val="9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70" w:right="459" w:bottom="1440" w:gutter="0" w:footer="0" w:header="0"/>
          <w:type w:val="continuous"/>
        </w:sectPr>
      </w:pPr>
    </w:p>
    <w:bookmarkStart w:id="104" w:name="page105"/>
    <w:bookmarkEnd w:id="104"/>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made to the further provisions of this Note set forth on the reverse hereof, including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AKAMAI TECHNOLOGIES,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0</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3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 due 2030</w:t>
      </w:r>
    </w:p>
    <w:p>
      <w:pPr>
        <w:spacing w:after="0" w:line="20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$1,750,000,000, all issued or to be issued under and pursuant to an Indenture dated as of May 22,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In case certain Events of Default, as defined in the Indenture, shall have occurred and be continuing, the principal of, and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the principal (including the Fundamental Change Repurchase Price, if applicable) of, any accrued and unpaid Special Interest and interest pursuant to Section 2.03(c), if any, on, and the consideration due upon conversion of, this Note at the place, at the respective times, at the rate and in the lawful money (or, if applicable, shares of Common Stock) herein prescribed.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R-1</w:t>
      </w:r>
    </w:p>
    <w:p>
      <w:pPr>
        <w:sectPr>
          <w:pgSz w:w="11900" w:h="16838" w:orient="portrait"/>
          <w:cols w:equalWidth="0" w:num="1">
            <w:col w:w="11020"/>
          </w:cols>
          <w:pgMar w:left="440" w:top="270" w:right="439" w:bottom="1440" w:gutter="0" w:footer="0" w:header="0"/>
        </w:sectPr>
      </w:pPr>
    </w:p>
    <w:bookmarkStart w:id="107" w:name="page108"/>
    <w:bookmarkEnd w:id="107"/>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minimum denominations of $1,000 principal amount and multiples of $1,000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not subject to redemption through the operation of any sinking fund or otherwise.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minimum principal amounts of $1,000 or multiples of $1,000 in excess thereof) on the Fundamental Change Repurchase Date at a price equal to the Fundamental Change Repurchase Price.</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 multiple of $1,000 in excess thereof, into cash and, if applicable, shares of Common Stock, in each case, at the Conversion Rate specified in the Indenture, as adjusted from time to time as provided in the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Terms used in this Note and defined in the Indenture are used herein as therein defined.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R-2</w:t>
      </w:r>
    </w:p>
    <w:p>
      <w:pPr>
        <w:sectPr>
          <w:pgSz w:w="11900" w:h="16838" w:orient="portrait"/>
          <w:cols w:equalWidth="0" w:num="1">
            <w:col w:w="11000"/>
          </w:cols>
          <w:pgMar w:left="440" w:top="270" w:right="459" w:bottom="1440" w:gutter="0" w:footer="0" w:header="0"/>
        </w:sectPr>
      </w:pPr>
    </w:p>
    <w:bookmarkStart w:id="108" w:name="page109"/>
    <w:bookmarkEnd w:id="108"/>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left="440" w:right="4760" w:hanging="439"/>
        <w:spacing w:after="0" w:line="488" w:lineRule="auto"/>
        <w:rPr>
          <w:sz w:val="20"/>
          <w:szCs w:val="20"/>
          <w:color w:val="auto"/>
        </w:rPr>
      </w:pPr>
      <w:r>
        <w:rPr>
          <w:rFonts w:ascii="Times New Roman" w:cs="Times New Roman" w:eastAsia="Times New Roman" w:hAnsi="Times New Roman"/>
          <w:sz w:val="17"/>
          <w:szCs w:val="17"/>
          <w:color w:val="auto"/>
        </w:rPr>
        <w:t>JT TEN = joint tenants with right of survivorship and not as tenants in common Additional abbreviations may also be used though not in the above list.</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R-3</w:t>
      </w:r>
    </w:p>
    <w:p>
      <w:pPr>
        <w:sectPr>
          <w:pgSz w:w="11900" w:h="16838" w:orient="portrait"/>
          <w:cols w:equalWidth="0" w:num="1">
            <w:col w:w="10480"/>
          </w:cols>
          <w:pgMar w:left="440" w:top="270" w:right="9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r>
        <w:rPr>
          <w:rFonts w:ascii="Times New Roman" w:cs="Times New Roman" w:eastAsia="Times New Roman" w:hAnsi="Times New Roman"/>
          <w:sz w:val="26"/>
          <w:szCs w:val="26"/>
          <w:b w:val="1"/>
          <w:bCs w:val="1"/>
          <w:color w:val="auto"/>
          <w:vertAlign w:val="superscript"/>
        </w:rPr>
        <w:t>6</w:t>
      </w:r>
    </w:p>
    <w:p>
      <w:pPr>
        <w:spacing w:after="0" w:line="1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 The following increases or decreases in this Global Note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been made:</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2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Date of exchange</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R-4</w:t>
      </w:r>
    </w:p>
    <w:p>
      <w:pPr>
        <w:sectPr>
          <w:pgSz w:w="11900" w:h="16838" w:orient="portrait"/>
          <w:cols w:equalWidth="0" w:num="1">
            <w:col w:w="11024"/>
          </w:cols>
          <w:pgMar w:left="436" w:top="266"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Akamai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Special Interest accompanies this Note.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6471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17145</wp:posOffset>
            </wp:positionV>
            <wp:extent cx="4114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Common Stock are to be issued,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817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18173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1817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Akamai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3"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Special Interest Payment Date to which such Special Interest Record Date relates, accrued and unpaid Special Interest, if any, thereon to, but excluding, such Fundamental Change Repurchase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0</wp:posOffset>
            </wp:positionV>
            <wp:extent cx="24003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445770</wp:posOffset>
            </wp:positionV>
            <wp:extent cx="27946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repurchased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207" w:lineRule="exact"/>
        <w:rPr>
          <w:sz w:val="20"/>
          <w:szCs w:val="20"/>
          <w:color w:val="auto"/>
        </w:rPr>
      </w:pPr>
    </w:p>
    <w:p>
      <w:pPr>
        <w:ind w:left="204" w:hanging="204"/>
        <w:spacing w:after="0"/>
        <w:tabs>
          <w:tab w:leader="none" w:pos="20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Akamai Technologies, Inc. or a subsidiary thereof; or</w:t>
      </w:r>
    </w:p>
    <w:p>
      <w:pPr>
        <w:spacing w:after="0" w:line="225" w:lineRule="exact"/>
        <w:rPr>
          <w:rFonts w:ascii="MS PGothic" w:cs="MS PGothic" w:eastAsia="MS PGothic" w:hAnsi="MS PGothic"/>
          <w:sz w:val="18"/>
          <w:szCs w:val="18"/>
          <w:color w:val="auto"/>
        </w:rPr>
      </w:pPr>
    </w:p>
    <w:p>
      <w:pPr>
        <w:ind w:left="4" w:right="220" w:hanging="4"/>
        <w:spacing w:after="0" w:line="282" w:lineRule="auto"/>
        <w:tabs>
          <w:tab w:leader="none" w:pos="211"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of 1933, as amended and that continues to be effective at the time of such transfer; or</w:t>
      </w:r>
    </w:p>
    <w:p>
      <w:pPr>
        <w:spacing w:after="0" w:line="161" w:lineRule="exact"/>
        <w:rPr>
          <w:rFonts w:ascii="MS PGothic" w:cs="MS PGothic" w:eastAsia="MS PGothic" w:hAnsi="MS PGothic"/>
          <w:sz w:val="18"/>
          <w:szCs w:val="18"/>
          <w:color w:val="auto"/>
        </w:rPr>
      </w:pPr>
    </w:p>
    <w:p>
      <w:pPr>
        <w:ind w:left="204" w:hanging="204"/>
        <w:spacing w:after="0"/>
        <w:tabs>
          <w:tab w:leader="none" w:pos="20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4" w:right="280" w:hanging="4"/>
        <w:spacing w:after="0" w:line="282" w:lineRule="auto"/>
        <w:tabs>
          <w:tab w:leader="none" w:pos="211"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454660</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whatsoever.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22, 2026</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0.00%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ARTICLE 1</w:t>
            </w:r>
          </w:p>
        </w:tc>
        <w:tc>
          <w:tcPr>
            <w:tcW w:w="4140" w:type="dxa"/>
            <w:vAlign w:val="bottom"/>
            <w:vMerge w:val="restart"/>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60" w:type="dxa"/>
            <w:vAlign w:val="bottom"/>
            <w:gridSpan w:val="2"/>
          </w:tcPr>
          <w:p>
            <w:pPr>
              <w:jc w:val="center"/>
              <w:ind w:right="41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w:t>
            </w:r>
          </w:p>
        </w:tc>
        <w:tc>
          <w:tcPr>
            <w:tcW w:w="95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60" w:type="dxa"/>
            <w:vAlign w:val="bottom"/>
            <w:gridSpan w:val="2"/>
          </w:tcPr>
          <w:p>
            <w:pPr>
              <w:jc w:val="center"/>
              <w:ind w:right="4180"/>
              <w:spacing w:after="0"/>
              <w:rPr>
                <w:sz w:val="20"/>
                <w:szCs w:val="20"/>
                <w:color w:val="auto"/>
              </w:rPr>
            </w:pPr>
            <w:r>
              <w:rPr>
                <w:rFonts w:ascii="Times New Roman" w:cs="Times New Roman" w:eastAsia="Times New Roman" w:hAnsi="Times New Roman"/>
                <w:sz w:val="18"/>
                <w:szCs w:val="18"/>
                <w:color w:val="auto"/>
                <w:w w:val="98"/>
              </w:rPr>
              <w:t>ARTICLE 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w:t>
            </w:r>
          </w:p>
        </w:tc>
        <w:tc>
          <w:tcPr>
            <w:tcW w:w="95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Special Interest and Defaulted Amounts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w:t>
            </w:r>
          </w:p>
        </w:tc>
        <w:tc>
          <w:tcPr>
            <w:tcW w:w="95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w:t>
            </w:r>
          </w:p>
        </w:tc>
        <w:tc>
          <w:tcPr>
            <w:tcW w:w="95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CUSIP Numbers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60" w:type="dxa"/>
            <w:vAlign w:val="bottom"/>
            <w:gridSpan w:val="2"/>
          </w:tcPr>
          <w:p>
            <w:pPr>
              <w:jc w:val="center"/>
              <w:ind w:right="4180"/>
              <w:spacing w:after="0"/>
              <w:rPr>
                <w:sz w:val="20"/>
                <w:szCs w:val="20"/>
                <w:color w:val="auto"/>
              </w:rPr>
            </w:pPr>
            <w:r>
              <w:rPr>
                <w:rFonts w:ascii="Times New Roman" w:cs="Times New Roman" w:eastAsia="Times New Roman" w:hAnsi="Times New Roman"/>
                <w:sz w:val="18"/>
                <w:szCs w:val="18"/>
                <w:color w:val="auto"/>
                <w:w w:val="98"/>
              </w:rPr>
              <w:t>ARTICLE 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Satisfaction and Discharge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60" w:type="dxa"/>
            <w:vAlign w:val="bottom"/>
            <w:gridSpan w:val="2"/>
          </w:tcPr>
          <w:p>
            <w:pPr>
              <w:jc w:val="center"/>
              <w:ind w:right="4180"/>
              <w:spacing w:after="0"/>
              <w:rPr>
                <w:sz w:val="20"/>
                <w:szCs w:val="20"/>
                <w:color w:val="auto"/>
              </w:rPr>
            </w:pPr>
            <w:r>
              <w:rPr>
                <w:rFonts w:ascii="Times New Roman" w:cs="Times New Roman" w:eastAsia="Times New Roman" w:hAnsi="Times New Roman"/>
                <w:sz w:val="18"/>
                <w:szCs w:val="18"/>
                <w:color w:val="auto"/>
                <w:w w:val="98"/>
              </w:rPr>
              <w:t>ARTICLE 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Special 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w:t>
            </w:r>
          </w:p>
        </w:tc>
        <w:tc>
          <w:tcPr>
            <w:tcW w:w="95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6" w:right="4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w:t>
            </w:r>
          </w:p>
        </w:tc>
        <w:tc>
          <w:tcPr>
            <w:tcW w:w="85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Lists of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6</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5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 Interest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7</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Common Stock to Be Held in Trust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1060" w:type="dxa"/>
            <w:vAlign w:val="bottom"/>
          </w:tcPr>
          <w:p>
            <w:pPr>
              <w:spacing w:after="0"/>
              <w:rPr>
                <w:sz w:val="24"/>
                <w:szCs w:val="24"/>
                <w:color w:val="auto"/>
              </w:rPr>
            </w:pPr>
          </w:p>
        </w:tc>
        <w:tc>
          <w:tcPr>
            <w:tcW w:w="8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8</w:t>
            </w:r>
          </w:p>
        </w:tc>
        <w:tc>
          <w:tcPr>
            <w:tcW w:w="13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320" w:type="dxa"/>
            <w:vAlign w:val="bottom"/>
          </w:tcPr>
          <w:p>
            <w:pPr>
              <w:spacing w:after="0"/>
              <w:rPr>
                <w:sz w:val="20"/>
                <w:szCs w:val="20"/>
                <w:color w:val="auto"/>
              </w:rPr>
            </w:pPr>
          </w:p>
        </w:tc>
      </w:tr>
      <w:tr>
        <w:trPr>
          <w:trHeight w:val="41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w:t>
            </w:r>
            <w:r>
              <w:rPr>
                <w:rFonts w:ascii="Times New Roman" w:cs="Times New Roman" w:eastAsia="Times New Roman" w:hAnsi="Times New Roman"/>
                <w:sz w:val="18"/>
                <w:szCs w:val="18"/>
                <w:i w:val="1"/>
                <w:iCs w:val="1"/>
                <w:color w:val="auto"/>
              </w:rPr>
              <w:t>.   Action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Revocation of Consents; Future Holders Bound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9</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tc>
        <w:tc>
          <w:tcPr>
            <w:tcW w:w="4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Purpose of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Call of Meetings by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Call of Meetings by Company or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Qualifications for Voting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 Delay of Rights by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10</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tc>
        <w:tc>
          <w:tcPr>
            <w:tcW w:w="440" w:type="dxa"/>
            <w:vAlign w:val="bottom"/>
          </w:tcPr>
          <w:p>
            <w:pPr>
              <w:spacing w:after="0"/>
              <w:rPr>
                <w:sz w:val="20"/>
                <w:szCs w:val="20"/>
                <w:color w:val="auto"/>
              </w:rPr>
            </w:pPr>
          </w:p>
        </w:tc>
      </w:tr>
      <w:tr>
        <w:trPr>
          <w:trHeight w:val="41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11</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tc>
        <w:tc>
          <w:tcPr>
            <w:tcW w:w="440" w:type="dxa"/>
            <w:vAlign w:val="bottom"/>
          </w:tcPr>
          <w:p>
            <w:pPr>
              <w:spacing w:after="0"/>
              <w:rPr>
                <w:sz w:val="20"/>
                <w:szCs w:val="20"/>
                <w:color w:val="auto"/>
              </w:rPr>
            </w:pPr>
          </w:p>
        </w:tc>
      </w:tr>
      <w:tr>
        <w:trPr>
          <w:trHeight w:val="41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w:t>
            </w:r>
            <w:r>
              <w:rPr>
                <w:rFonts w:ascii="Times New Roman" w:cs="Times New Roman" w:eastAsia="Times New Roman" w:hAnsi="Times New Roman"/>
                <w:sz w:val="18"/>
                <w:szCs w:val="18"/>
                <w:i w:val="1"/>
                <w:iCs w:val="1"/>
                <w:color w:val="auto"/>
              </w:rPr>
              <w:t>.   Officer’s Certificate and Opinion of Counsel to Be Given to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12</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tc>
        <w:tc>
          <w:tcPr>
            <w:tcW w:w="440" w:type="dxa"/>
            <w:vAlign w:val="bottom"/>
          </w:tcPr>
          <w:p>
            <w:pPr>
              <w:spacing w:after="0"/>
              <w:rPr>
                <w:sz w:val="20"/>
                <w:szCs w:val="20"/>
                <w:color w:val="auto"/>
              </w:rPr>
            </w:pPr>
          </w:p>
        </w:tc>
      </w:tr>
      <w:tr>
        <w:trPr>
          <w:trHeight w:val="43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13</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14</w:t>
            </w:r>
          </w:p>
        </w:tc>
        <w:tc>
          <w:tcPr>
            <w:tcW w:w="4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93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4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Conversion Privilege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8" w:right="4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15</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30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16</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tc>
        <w:tc>
          <w:tcPr>
            <w:tcW w:w="1300" w:type="dxa"/>
            <w:vAlign w:val="bottom"/>
          </w:tcPr>
          <w:p>
            <w:pPr>
              <w:spacing w:after="0"/>
              <w:rPr>
                <w:sz w:val="20"/>
                <w:szCs w:val="20"/>
                <w:color w:val="auto"/>
              </w:rPr>
            </w:pP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No Optional Redemption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4"/>
        </w:trPr>
        <w:tc>
          <w:tcPr>
            <w:tcW w:w="1160" w:type="dxa"/>
            <w:vAlign w:val="bottom"/>
          </w:tcPr>
          <w:p>
            <w:pPr>
              <w:spacing w:after="0"/>
              <w:rPr>
                <w:sz w:val="24"/>
                <w:szCs w:val="24"/>
                <w:color w:val="auto"/>
              </w:rPr>
            </w:pPr>
          </w:p>
        </w:tc>
        <w:tc>
          <w:tcPr>
            <w:tcW w:w="8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ARTICLE 17</w:t>
            </w:r>
          </w:p>
        </w:tc>
        <w:tc>
          <w:tcPr>
            <w:tcW w:w="13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1300" w:type="dxa"/>
            <w:vAlign w:val="bottom"/>
          </w:tcPr>
          <w:p>
            <w:pPr>
              <w:spacing w:after="0"/>
              <w:rPr>
                <w:sz w:val="20"/>
                <w:szCs w:val="20"/>
                <w:color w:val="auto"/>
              </w:rPr>
            </w:pPr>
          </w:p>
        </w:tc>
      </w:tr>
      <w:tr>
        <w:trPr>
          <w:trHeight w:val="41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Corporation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Authenticating Agent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 Electronic Signatures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Calculations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8" w:right="4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w:t>
      </w:r>
    </w:p>
    <w:p>
      <w:pPr>
        <w:spacing w:after="0" w:line="256" w:lineRule="exact"/>
        <w:rPr>
          <w:sz w:val="20"/>
          <w:szCs w:val="20"/>
          <w:color w:val="auto"/>
        </w:rPr>
      </w:pPr>
    </w:p>
    <w:p>
      <w:pPr>
        <w:spacing w:after="0"/>
        <w:tabs>
          <w:tab w:leader="none" w:pos="1100" w:val="left"/>
          <w:tab w:leader="none" w:pos="107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Note</w:t>
      </w:r>
      <w:r>
        <w:rPr>
          <w:sz w:val="20"/>
          <w:szCs w:val="20"/>
          <w:color w:val="auto"/>
        </w:rPr>
        <w:tab/>
      </w:r>
      <w:r>
        <w:rPr>
          <w:rFonts w:ascii="Times New Roman" w:cs="Times New Roman" w:eastAsia="Times New Roman" w:hAnsi="Times New Roman"/>
          <w:sz w:val="17"/>
          <w:szCs w:val="17"/>
          <w:color w:val="auto"/>
        </w:rPr>
        <w:t>A-1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66" w:right="439" w:bottom="1440" w:gutter="0" w:footer="0" w:header="0"/>
        </w:sectPr>
      </w:pPr>
    </w:p>
    <w:bookmarkStart w:id="121" w:name="page122"/>
    <w:bookmarkEnd w:id="121"/>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May 22, 2026, between AKAMAI TECHNOLOGIES,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organized and existing under the laws of the United States of America,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$1,750,000,000, and in order to provide the terms and conditions upon which the Notes are to be authenticated, issued and delivered, the Company has duly authorized the execution and delivery of this Indenture;</w:t>
      </w:r>
    </w:p>
    <w:p>
      <w:pPr>
        <w:spacing w:after="0" w:line="176"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Unless the context otherwise requires, “or” is not inclusive and “including” means “including without limitation.” The terms defined in this Article include the plural as well as the singular.</w:t>
      </w:r>
    </w:p>
    <w:p>
      <w:pPr>
        <w:sectPr>
          <w:pgSz w:w="11900" w:h="16838" w:orient="portrait"/>
          <w:cols w:equalWidth="0" w:num="1">
            <w:col w:w="11000"/>
          </w:cols>
          <w:pgMar w:left="440" w:top="266" w:right="4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Person appointed by the Company to solicit bids for the Trading Price of the Notes in accordance with Section 14.01(b)(i). The Trustee shall initially act as the Bid Solicitation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excluding any debt securities convertible or exchangeable into such stock.</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shall have the meaning specified in Section 14.02(a)(ii).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162"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66" w:right="579" w:bottom="1440" w:gutter="0" w:footer="0" w:header="0"/>
        </w:sectPr>
      </w:pPr>
    </w:p>
    <w:bookmarkStart w:id="123" w:name="page124"/>
    <w:bookmarkEnd w:id="123"/>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$0.01 per share, at the date of this Indenture, subject to Section 14.07.</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 the Company’s Chief Executive Officer, Chief Financial Officer, President, Executive or Senior Vice President or any Vice President (whether or not designated by a number or numbers or word or words added before or after the title “Vice President”) and (b) any such other Officer designated in clause (a) of this definition or the Company’s Treasurer or Assistant Treasurer or Secretary or any Assistant Secretary, and delivered to the Trustee.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date,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its corporate trust business shall be administered, which office at the date hereof is located at U.S. Bank Trust Company, National Association, Global Corporate Trust and Agency, City Place I, 185 Asylum Street, 27th Floor, Hartford, Connecticut 06103, Attention: K. Mitchell (Akamai Technologies, Inc.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24" w:name="page125"/>
    <w:bookmarkEnd w:id="124"/>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20 consecutive Trading Days during the Observation Period, 5.0% of the product of (a) the Conversion Rate on such Trading Day and (b) the Daily VWAP on such Trading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Net Settlement Amount</w:t>
      </w:r>
      <w:r>
        <w:rPr>
          <w:rFonts w:ascii="Times New Roman" w:cs="Times New Roman" w:eastAsia="Times New Roman" w:hAnsi="Times New Roman"/>
          <w:sz w:val="18"/>
          <w:szCs w:val="18"/>
          <w:color w:val="auto"/>
        </w:rPr>
        <w:t>” means, for each of the 20 consecutive Trading Days during the relevant Observation Period:</w:t>
      </w:r>
    </w:p>
    <w:p>
      <w:pPr>
        <w:spacing w:after="0" w:line="121" w:lineRule="exact"/>
        <w:rPr>
          <w:sz w:val="20"/>
          <w:szCs w:val="20"/>
          <w:color w:val="auto"/>
        </w:rPr>
      </w:pPr>
    </w:p>
    <w:p>
      <w:pPr>
        <w:jc w:val="both"/>
        <w:ind w:left="440" w:right="120" w:firstLine="419"/>
        <w:spacing w:after="0" w:line="266" w:lineRule="auto"/>
        <w:tabs>
          <w:tab w:leader="none" w:pos="11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does not elect a Cash Percentage or the Company elects (or is deemed to have elected) a Cash Percentage of 0% as set forth herein, a number of shares of Common Stock equal to (i) the difference between the Daily Conversion Value for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a Cash Percentage of 100% as set forth herein, cash in an amount equal to the difference between the Daily Conversion Value for such Trading Day and the Daily Measurement Value;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a Cash Percentage of less than 100% but greater than 0% as set forth herein, (i) cash in an amount equal to the product of (x) the difference between the Daily Conversion Value for such Trading Day and the Daily Measurement Value and (y) the Cash Percentage,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number of shares of Common Stock equal to the product of (x)(A) the difference between the Daily Conversion Value for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Daily VWAP for such Trading Day and (y)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Cash Percentage.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20 consecutive Trading Days during the relevant Observation Period, shall consist of:</w:t>
      </w:r>
    </w:p>
    <w:p>
      <w:pPr>
        <w:spacing w:after="0" w:line="229" w:lineRule="exact"/>
        <w:rPr>
          <w:sz w:val="20"/>
          <w:szCs w:val="20"/>
          <w:color w:val="auto"/>
        </w:rPr>
      </w:pPr>
    </w:p>
    <w:p>
      <w:pPr>
        <w:ind w:left="680" w:hanging="244"/>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for such Trading Day;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Daily Conversion Value exceeds the Daily Measurement Value, the Daily Net Settlement Amount for such Trading Day.</w:t>
      </w:r>
    </w:p>
    <w:p>
      <w:pPr>
        <w:spacing w:after="0" w:line="2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20 consecutive Trading Days during the relevant Observation Period, the per share volume-weighted average price as displayed under the heading “Bloomberg VWAP” on Bloomberg page “AKAM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the Fundamental Change Repurchase Price, principal and Special Interest, if any) that are payable but have not been paid or duly provided for.</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shall mean the “Form of Assignment and Transfer” attached as Attachment 3 to the Form of Note attached hereto as Exhibit A.</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shall mean the “Form of Fundamental Change Repurchase Notice” attached as Attachment 2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shall mean the “Form of Note” attached hereto as Exhibit A.</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26" w:name="page127"/>
    <w:bookmarkEnd w:id="126"/>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shall mean the “Form of Notice of Conversion” attached as Attachment 1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21" w:lineRule="exact"/>
        <w:rPr>
          <w:sz w:val="20"/>
          <w:szCs w:val="20"/>
          <w:color w:val="auto"/>
        </w:rPr>
      </w:pPr>
    </w:p>
    <w:p>
      <w:pPr>
        <w:jc w:val="both"/>
        <w:ind w:left="440" w:right="80" w:firstLine="419"/>
        <w:spacing w:after="0" w:line="281" w:lineRule="auto"/>
        <w:tabs>
          <w:tab w:leader="none" w:pos="110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“group” within the meaning of Section 13(d) of the Exchange Act, other than the Company, its wholly owned Subsidiaries and the employee benefit plans of the Company and its wholly owned Subsidiaries, files a Schedule TO or any schedule, form or report under the Exchange Act disclosing that such person or group has become the direct or indirect “beneficial owner,” as defined in Rule 13d-3 under the Exchange Act, of the Company’s Common Equity representing more than 50% of the voting power of the Company’s Common Equity;</w:t>
      </w:r>
    </w:p>
    <w:p>
      <w:pPr>
        <w:spacing w:after="0" w:line="56" w:lineRule="exact"/>
        <w:rPr>
          <w:rFonts w:ascii="Times New Roman" w:cs="Times New Roman" w:eastAsia="Times New Roman" w:hAnsi="Times New Roman"/>
          <w:sz w:val="17"/>
          <w:szCs w:val="17"/>
          <w:color w:val="auto"/>
        </w:rPr>
      </w:pPr>
    </w:p>
    <w:p>
      <w:pPr>
        <w:ind w:left="440" w:right="20" w:firstLine="419"/>
        <w:spacing w:after="0" w:line="253"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recapitalization, reclassification or change of the Common Stock (other than changes resulting from a subdivision, combination or change in par value) as a result of which the Common Stock would be converted into, or exchanged for, stock, other securities, other property or assets; (ii) any share exchange, consolidation or merger of the Company pursuant to which the Common Stock will be converted into cash, securities or other property or assets; or (iii) any sale, lease or other transfer in one transaction or a series of related transactions of all or substantially all of the consolidated assets of the Company and its Subsidiaries, taken as a whole, to any Person other than one or more of the Company’s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(A) a transaction described in clause (i) or (ii)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nor (B) any merger or consolidation of the Company solely for the purpose of changing the Company’s jurisdiction of incorporation that results in a reclassification, conversion or exchange of outstanding shares of Common Stock solely into shares of common stock of the surviving entity, shall be a Fundamental Change pursuant to this clause (b);</w:t>
      </w:r>
    </w:p>
    <w:p>
      <w:pPr>
        <w:spacing w:after="0" w:line="8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17"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6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transaction that constitutes a Fundamental Change pursuant to both clause (a) and clause (b) above shall be deemed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solely under clause (b) above;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 least 90% of the consideration received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27" w:name="page128"/>
    <w:bookmarkEnd w:id="1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be received by the common stockholders of the Company, excluding cash payments for fractional shares or pursuant to statutory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appraisal rights (subject to the provisions of Section 14.02).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immediately preceding sentence, following the effective date of such transaction), references to the Company in this definition shall instead be references to such other entity.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or sent via overnight courier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shall mean any Person in whose name at the time a particular Note is registered on the Note Register.</w:t>
      </w:r>
    </w:p>
    <w:p>
      <w:pPr>
        <w:spacing w:after="0" w:line="155" w:lineRule="exact"/>
        <w:rPr>
          <w:sz w:val="20"/>
          <w:szCs w:val="20"/>
          <w:color w:val="auto"/>
        </w:rPr>
      </w:pPr>
    </w:p>
    <w:p>
      <w:pPr>
        <w:jc w:val="center"/>
        <w:ind w:left="600" w:right="2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 7</w:t>
      </w:r>
    </w:p>
    <w:p>
      <w:pPr>
        <w:sectPr>
          <w:pgSz w:w="11900" w:h="16838" w:orient="portrait"/>
          <w:cols w:equalWidth="0" w:num="1">
            <w:col w:w="11000"/>
          </w:cols>
          <w:pgMar w:left="440" w:top="270" w:right="459" w:bottom="1440" w:gutter="0" w:footer="0" w:header="0"/>
        </w:sectPr>
      </w:pPr>
    </w:p>
    <w:bookmarkStart w:id="128" w:name="page129"/>
    <w:bookmarkEnd w:id="12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in the over-the-counter market on the relevant date as reported by OTC Markets Group Inc. or a similar organization. If the Common Stock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Stock on the relevant date from each of at least three nationally recognized independent investment banking firms selected by the Company for this purpose.</w:t>
      </w:r>
    </w:p>
    <w:p>
      <w:pPr>
        <w:spacing w:after="0" w:line="18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above and determined after giving effect to any exceptions to or exclusions from such definition, but without regard to subclause (A) of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 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May 15, 2032.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Conversion Rate</w:t>
      </w:r>
      <w:r>
        <w:rPr>
          <w:rFonts w:ascii="Times New Roman" w:cs="Times New Roman" w:eastAsia="Times New Roman" w:hAnsi="Times New Roman"/>
          <w:sz w:val="18"/>
          <w:szCs w:val="18"/>
          <w:color w:val="auto"/>
        </w:rPr>
        <w:t>” shall have the meaning specified in Section 14.03(e).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29" w:name="page130"/>
    <w:bookmarkEnd w:id="129"/>
    <w:p>
      <w:pPr>
        <w:ind w:left="4" w:right="8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Observation Period</w:t>
      </w:r>
      <w:r>
        <w:rPr>
          <w:rFonts w:ascii="Times New Roman" w:cs="Times New Roman" w:eastAsia="Times New Roman" w:hAnsi="Times New Roman"/>
          <w:sz w:val="17"/>
          <w:szCs w:val="17"/>
          <w:color w:val="auto"/>
        </w:rPr>
        <w:t>” with respect to any Note surrendered for conversion means: (i) if the relevant Conversion Date occurs prior to January 15, 2032, the 20 consecutive Trading Day period beginning on, and including, the second Trading Day immediately succeeding such Conversion Date; and</w:t>
      </w:r>
    </w:p>
    <w:p>
      <w:pPr>
        <w:spacing w:after="0" w:line="1" w:lineRule="exact"/>
        <w:rPr>
          <w:sz w:val="20"/>
          <w:szCs w:val="20"/>
          <w:color w:val="auto"/>
        </w:rPr>
      </w:pPr>
    </w:p>
    <w:p>
      <w:pPr>
        <w:ind w:left="4" w:right="160" w:hanging="4"/>
        <w:spacing w:after="0" w:line="255" w:lineRule="auto"/>
        <w:tabs>
          <w:tab w:leader="none" w:pos="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relevant Conversion Date occurs during the period from, and including, January 15, 2032 to the close of business on the second Scheduled Trading Day immediately preceding the Maturity Date, the 20 consecutive Trading Days beginning on, and including, the 21st Scheduled Trading Day immediately preceding the Maturity Date.</w:t>
      </w:r>
    </w:p>
    <w:p>
      <w:pPr>
        <w:spacing w:after="0" w:line="182"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May 18, 2026, as supplemented by the related pricing term sheet dated May 19, 2026, relating to the offering and sale of the Notes.</w:t>
      </w:r>
    </w:p>
    <w:p>
      <w:pPr>
        <w:spacing w:after="0" w:line="15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President, the Chief Executive Officer, the Chief Financial Officer, the Chief Accounting Officer, the Treasurer, the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that is delivered to the Trustee, which opinion may contain customary exceptions and qualifications as to the matters set forth therein and which legal counsel may, in providing such opinion, rely upon certifications or other representations as to matters of fact. Each such opinion shall include the statements provided for in Section 17.05 if and to the extent required by the provisions of such Section 17.05.</w:t>
      </w:r>
    </w:p>
    <w:p>
      <w:pPr>
        <w:spacing w:after="0" w:line="179"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1" w:lineRule="exact"/>
        <w:rPr>
          <w:sz w:val="20"/>
          <w:szCs w:val="20"/>
          <w:color w:val="auto"/>
        </w:rPr>
      </w:pPr>
    </w:p>
    <w:p>
      <w:pPr>
        <w:ind w:left="1104" w:hanging="241"/>
        <w:spacing w:after="0"/>
        <w:tabs>
          <w:tab w:leader="none" w:pos="11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2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30" w:name="page131"/>
    <w:bookmarkEnd w:id="130"/>
    <w:p>
      <w:pPr>
        <w:ind w:left="440" w:firstLine="419"/>
        <w:spacing w:after="0" w:line="266" w:lineRule="auto"/>
        <w:tabs>
          <w:tab w:leader="none" w:pos="11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canceled pursuant to Section 2.08;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the penultimate sentence of Section 2.10.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 multiples of $1,000 in excess thereof.</w:t>
      </w:r>
    </w:p>
    <w:p>
      <w:pPr>
        <w:spacing w:after="0" w:line="155" w:lineRule="exact"/>
        <w:rPr>
          <w:sz w:val="20"/>
          <w:szCs w:val="20"/>
          <w:color w:val="auto"/>
        </w:rPr>
      </w:pPr>
    </w:p>
    <w:p>
      <w:pPr>
        <w:ind w:right="3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who shall have direct responsibility for the administration of this Indenture and also means any other officer of the Trustee to whom any corporate trust matter with respect to this Indenture is referred because of such person’s knowledge of and familiarity with the particular subject.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131" w:name="page132"/>
    <w:bookmarkEnd w:id="131"/>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shall have the meaning specified in Section 14.02(a)(ii).</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 of Regulation S-X under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Payment Date</w:t>
      </w:r>
      <w:r>
        <w:rPr>
          <w:rFonts w:ascii="Times New Roman" w:cs="Times New Roman" w:eastAsia="Times New Roman" w:hAnsi="Times New Roman"/>
          <w:sz w:val="18"/>
          <w:szCs w:val="18"/>
          <w:color w:val="auto"/>
        </w:rPr>
        <w:t>” means, if and to the extent that Special Interest is payable on the Notes, each May 15 and November 15 of each year, beginning on November 15, 2026.</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Record Date</w:t>
      </w:r>
      <w:r>
        <w:rPr>
          <w:rFonts w:ascii="Times New Roman" w:cs="Times New Roman" w:eastAsia="Times New Roman" w:hAnsi="Times New Roman"/>
          <w:sz w:val="18"/>
          <w:szCs w:val="18"/>
          <w:color w:val="auto"/>
        </w:rPr>
        <w:t>” means, with respect to any Special Interest Payment Date, the May 1 or November 1 (whether or not such day is a Business Day) immediately preceding the applicable May 15 or November 15 Special Interest Payment Date, respectively.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except for purposes of determining amounts due upon conversion of any Note, a day on which (i) trading in the Common Stock (or other security for which a closing sale price must be determined) generally occurs on The Nasdaq Global Select Market or, if the Common Stock (or such other security) is not then listed on The Nasdaq Global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 Market, on the principal other U.S. national or regional securities exchange on which the Common Stock (or such other security) is then listed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Common Stock (or such other security) is not then listed on a U.S. national or regional securities exchange, on the principal other market on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(or such other security) is then traded and (ii) a Last Reported Sale Price for the Common Stock (or closing sale price for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 and (b) for purposes of determining amounts due upon conversion of any Note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on which (x) there is no Market Disruption Event and (y) trading in the Common Stock generally occurs on The Nasdaq Global Select Market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not then listed on The Nasdaq Global Select Market, on the principal other U.S. national or regional securities exchange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then listed or, if the Common Stock is not then listed on a U.S. national or regional securities exchange, on the principal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on which the Common Stock is then listed or admitted for trading, except that if the Common Stock is not so listed or admitted for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203"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Price</w:t>
      </w:r>
      <w:r>
        <w:rPr>
          <w:rFonts w:ascii="Times New Roman" w:cs="Times New Roman" w:eastAsia="Times New Roman" w:hAnsi="Times New Roman"/>
          <w:sz w:val="17"/>
          <w:szCs w:val="17"/>
          <w:color w:val="auto"/>
        </w:rPr>
        <w:t xml:space="preserve">” per $1,000 principal amount of Notes on any date of determination means the average of the secondary market bid quotations obtained by the Bid Solicitation Agent for $2,000,000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$2,000,000 principal amount of Notes from a nationally recognized securities dealer, then the Trading Price per $1,000 principal amount of Notes shall be deemed to be less than 98% of the product of the Last Reported Sale Price of the Common Stock and the Conversion Rate.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3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All references to interest on, or in respect of, any Note in this Indenture shall be deemed to refer solely to Special Interest (if, in such context, Special Interest is, was or would be payable pursuant to any of Section 4.06(d), Section 4.06(e) or Section 6.03) and/or to any interest payable on any Defaulted Amounts as set forth in Section 2.03(c), and, as context requires, references to Special Interest on, or in respect of, any Note in this Indenture shall be deemed to include interest payable on Defaulted Amounts as set forth in Section 2.03(c) if such interest was or would be payable at such time.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“0.00% Convertible Senior Notes due 2032.” The aggregate principal amount of Notes that may be authenticated and delivered under this Indenture is initially limited to $1,750,000,000, subject to Section 2.10 and except for Notes authenticated and delivered upon registration or transfer of, or in exchange for, or in lieu of other Notes pursuant to Section 2.05, Section 2.06, Section 2.07, Section 10.04, Section 14.02 and Section 15.04.</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134" w:name="page135"/>
    <w:bookmarkEnd w:id="134"/>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Company or the Holder of such Notes in accordance with this Indenture. Payment of principal (including the Fundamental Change Repurchase Price, if applicable) of, and any accrued and unpaid Special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Special Interest and Defaulted Amounts.</w:t>
      </w:r>
      <w:r>
        <w:rPr>
          <w:rFonts w:ascii="Times New Roman" w:cs="Times New Roman" w:eastAsia="Times New Roman" w:hAnsi="Times New Roman"/>
          <w:sz w:val="18"/>
          <w:szCs w:val="18"/>
          <w:color w:val="auto"/>
        </w:rPr>
        <w:t xml:space="preserve"> (a) The Notes shall be issuable in registered form without coupons in minimum denominations of $1,000 principal amount and multiples of $1,000 in excess thereof. Each Note shall be dated the date of its authentication and shall not bear regular interest, and the principal amount of the Notes shall not accrete. Special Interest on the Notes, if any, shall be computed on the basis of a 360-day year composed of twelve 30-day months and, for partial months, on the basis of actual days elapsed over a 30-day month.</w:t>
      </w:r>
    </w:p>
    <w:p>
      <w:pPr>
        <w:spacing w:after="0" w:line="185" w:lineRule="exact"/>
        <w:rPr>
          <w:sz w:val="20"/>
          <w:szCs w:val="20"/>
          <w:color w:val="auto"/>
        </w:rPr>
      </w:pPr>
    </w:p>
    <w:p>
      <w:pPr>
        <w:ind w:firstLine="436"/>
        <w:spacing w:after="0" w:line="253"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(x) in the case of any Physical Note, shall be payable at the office or agency of the Company maintained by the Company for such purposes in the United States of America, which shall initially be the Corporate Trust Office of the Trustee located in the United States of America, or any other office or agency located in the United States of America so designated by the Trustee and (y) in the case of any Global Note, shall be payable by wire transfer of immediately available funds to the account of the Depositary or its nominee. The Company shall pay Special Interest, if any,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application by such a Holder to the Note Registrar not later than the relevant Special Interest Record Date, by wire transfer in immediately available funds to that Holder’s account within the United States if such Holder has provided the Company, the Trustee and the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35" w:name="page136"/>
    <w:bookmarkEnd w:id="135"/>
    <w:p>
      <w:pPr>
        <w:ind w:firstLine="436"/>
        <w:spacing w:after="0" w:line="258"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Defaulted Amounts shall forthwith cease to be payable to the Holder on the relevant payment date and shall not accrue interest unless Special Interest was payable pursuant to this Indenture on the relevant payment date, in which case such Defaulted Amounts shall accrue interest, to the extent permitted by applicable law, per annum at the then-applicable Special Interest rate borne by the Notes, from, and including, such relevant payment date, and such Defaulted Amounts together with any such interest thereon shall be paid by the Company, at its election in each case, as provided in clause (i) or (ii) below:</w:t>
      </w:r>
    </w:p>
    <w:p>
      <w:pPr>
        <w:spacing w:after="0" w:line="75"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86"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2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8" w:lineRule="exact"/>
        <w:rPr>
          <w:sz w:val="20"/>
          <w:szCs w:val="20"/>
          <w:color w:val="auto"/>
        </w:rPr>
      </w:pPr>
    </w:p>
    <w:p>
      <w:pPr>
        <w:jc w:val="both"/>
        <w:ind w:right="440" w:firstLine="440"/>
        <w:spacing w:after="0" w:line="267"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other electronic signature of its Chief Executive Officer, President, Chief Financial Officer, Treasurer, Secretary or any of its Executive or Senior Vice Presidents.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136" w:name="page137"/>
    <w:bookmarkEnd w:id="13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other than delivery of an Officer’s Certificate pursuant to Section 17.05.</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r>
        <w:rPr>
          <w:rFonts w:ascii="Times New Roman" w:cs="Times New Roman" w:eastAsia="Times New Roman" w:hAnsi="Times New Roman"/>
          <w:sz w:val="18"/>
          <w:szCs w:val="18"/>
          <w:color w:val="auto"/>
        </w:rPr>
        <w:t xml:space="preserve"> (a) 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1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37" w:name="page138"/>
    <w:bookmarkEnd w:id="137"/>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unless and until the Holder thereof has validly withdrawn the relevant repurchase notice in accordance with Article 15.</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right="100" w:firstLine="436"/>
        <w:spacing w:after="0" w:line="258"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38" w:name="page139"/>
    <w:bookmarkEnd w:id="13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those contained in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effective under the Securities Act and that was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60" w:firstLine="419"/>
        <w:spacing w:after="0" w:line="266"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right="240" w:firstLine="419"/>
        <w:spacing w:after="0" w:line="259"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39" w:name="page140"/>
    <w:bookmarkEnd w:id="139"/>
    <w:p>
      <w:pPr>
        <w:ind w:left="984" w:right="220" w:firstLine="408"/>
        <w:spacing w:after="0" w:line="282" w:lineRule="auto"/>
        <w:tabs>
          <w:tab w:leader="none" w:pos="167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4" w:right="160" w:firstLine="408"/>
        <w:spacing w:after="0" w:line="282" w:lineRule="auto"/>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such restrictions on transfer shall have expired in accordance with their terms for exchange,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88"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w:t>
      </w:r>
    </w:p>
    <w:p>
      <w:pPr>
        <w:spacing w:after="0" w:line="2" w:lineRule="exact"/>
        <w:rPr>
          <w:sz w:val="20"/>
          <w:szCs w:val="20"/>
          <w:color w:val="auto"/>
        </w:rPr>
      </w:pPr>
    </w:p>
    <w:p>
      <w:pPr>
        <w:ind w:left="4" w:right="120" w:hanging="4"/>
        <w:spacing w:after="0" w:line="255" w:lineRule="auto"/>
        <w:tabs>
          <w:tab w:leader="none" w:pos="26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140" w:name="page141"/>
    <w:bookmarkEnd w:id="140"/>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Only 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at the Company’s expense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at the Company’s expense such Physical Notes to the Persons in whose names such Physical Notes are so registered.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1" w:name="page142"/>
    <w:bookmarkEnd w:id="141"/>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Company, the Paying Agent,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beneficial ownership interests of a Global Note or for maintaining, supervising or reviewing any records relating to such beneficial ownership interests.</w:t>
      </w:r>
    </w:p>
    <w:p>
      <w:pPr>
        <w:spacing w:after="0" w:line="180" w:lineRule="exact"/>
        <w:rPr>
          <w:sz w:val="20"/>
          <w:szCs w:val="20"/>
          <w:color w:val="auto"/>
        </w:rPr>
      </w:pPr>
    </w:p>
    <w:p>
      <w:pPr>
        <w:ind w:firstLine="987"/>
        <w:spacing w:after="0" w:line="255"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Common Stock issued upon conversion of such Note shall bear a legend in substantially the following form (unless such Common Stock has been transferred pursuant to a registration statement that has become effective under the Securities Act and that was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effective under the Securities Act and that was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8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67" w:lineRule="exact"/>
        <w:rPr>
          <w:sz w:val="20"/>
          <w:szCs w:val="20"/>
          <w:color w:val="auto"/>
        </w:rPr>
      </w:pPr>
    </w:p>
    <w:p>
      <w:pPr>
        <w:ind w:left="440" w:right="48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firstLine="419"/>
        <w:spacing w:after="0" w:line="257"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78"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42" w:name="page143"/>
    <w:bookmarkEnd w:id="142"/>
    <w:p>
      <w:pPr>
        <w:ind w:left="980" w:right="260" w:firstLine="408"/>
        <w:spacing w:after="0" w:line="282" w:lineRule="auto"/>
        <w:tabs>
          <w:tab w:leader="none" w:pos="16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0" w:lineRule="exact"/>
        <w:rPr>
          <w:sz w:val="20"/>
          <w:szCs w:val="20"/>
          <w:color w:val="auto"/>
        </w:rPr>
      </w:pPr>
    </w:p>
    <w:p>
      <w:pPr>
        <w:ind w:firstLine="436"/>
        <w:spacing w:after="0" w:line="256" w:lineRule="auto"/>
        <w:tabs>
          <w:tab w:leader="none" w:pos="6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Common Stock issued upon the conversion or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Except as provided for in Section 2.10, the Company shall cause any Note that is repurchased or owned by it to be surrendered to the Trustee for cancellation in accordance with Section 2.08.</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Neither the Trustee nor any agent shall have any responsibility or liability for any actions taken or not taken by the Depositary.</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144" w:name="page145"/>
    <w:bookmarkEnd w:id="144"/>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Except as provided for in Section 2.10, the Company shall cause all Notes surrendered for the purpose of payment at maturity, repurchase, registration of transfer or exchange or conversion, if surrendered to any of the Company’s agents, Subsidiaries or controlled Affiliates, to be surrendered to the Trustee for cancellation. All Notes delivered to the Trustee shall be canceled promptly by it, and no Notes shall be authenticated in exchange therefor except as expressly permitted by any of the provisions of this Indenture. The Trustee shall dispose of canceled Notes in accordance with its customary procedures and, after such disposition, shall deliver evidence of such disposition to the Company, at the Company’s written request in a Company Order.</w:t>
      </w:r>
    </w:p>
    <w:p>
      <w:pPr>
        <w:spacing w:after="0" w:line="18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Company and/or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2.01, reopen this Indenture and issue additional Notes hereunder with the same terms as the Notes initially issued hereunder (except for the issue date, the issue price and Special Interest, if any, accrued prior to the issue date of such additional Notes) in an unlimited aggregate principal amount;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such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145" w:name="page146"/>
    <w:bookmarkEnd w:id="14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applicable to the issuance of additional Notes, in addition to those required by Section 17.05. In addition, the Company may, to the extent permitted by law, and without the consent of the Holders, directly or indirectly (regardless of whether such Notes are surrendered to the Company), repurchase Notes in the open market or otherwise, whether by the Company or its Subsidiaries or through a privately negotiated transaction, through a private or public tender or exchange offer or through counterparties to private agreements, including by cash-settled swaps or other derivatives. The Company shall cause any Notes so repurchased (other than Notes repurchased pursuant to cash-settled swaps or other derivatives) to be surrendered to the Trustee for cancellation in accordance with Section 2.08.</w:t>
      </w:r>
    </w:p>
    <w:p>
      <w:pPr>
        <w:spacing w:after="0" w:line="1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205" w:lineRule="exact"/>
        <w:rPr>
          <w:sz w:val="20"/>
          <w:szCs w:val="20"/>
          <w:color w:val="auto"/>
        </w:rPr>
      </w:pPr>
    </w:p>
    <w:p>
      <w:pPr>
        <w:ind w:left="4" w:right="240" w:firstLine="440"/>
        <w:spacing w:after="0" w:line="273"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w:t>
      </w:r>
    </w:p>
    <w:p>
      <w:pPr>
        <w:spacing w:after="0" w:line="1" w:lineRule="exact"/>
        <w:rPr>
          <w:sz w:val="20"/>
          <w:szCs w:val="20"/>
          <w:color w:val="auto"/>
        </w:rPr>
      </w:pPr>
    </w:p>
    <w:p>
      <w:pPr>
        <w:ind w:left="4" w:right="20" w:hanging="4"/>
        <w:spacing w:after="0" w:line="251"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on any Fundamental Change Repurchase Date, upon conversion or otherwise, cash or, solely to satisfy the Company’s Conversion Obligation, cash and, if applicable, shares of Common Stock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Special Interest.</w:t>
      </w:r>
      <w:r>
        <w:rPr>
          <w:rFonts w:ascii="Times New Roman" w:cs="Times New Roman" w:eastAsia="Times New Roman" w:hAnsi="Times New Roman"/>
          <w:sz w:val="18"/>
          <w:szCs w:val="18"/>
          <w:color w:val="auto"/>
        </w:rPr>
        <w:t xml:space="preserve"> The Company covenants and agrees that it will cause to be paid the principal (including the Fundamental Change Repurchase Price, if applicable) of, and accrued and unpaid Special Interest, if any, on, each of the Notes at the places, at the respective times and in the manner provided herein and in the Notes.</w:t>
      </w:r>
    </w:p>
    <w:p>
      <w:pPr>
        <w:spacing w:after="0" w:line="17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Company may, to the extent it is required to do so by law, deduct or withhold income or other similar taxes imposed by the United States of America from principal, premium or Special Interest, if any, payments hereunder.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r>
        <w:rPr>
          <w:rFonts w:ascii="Times New Roman" w:cs="Times New Roman" w:eastAsia="Times New Roman" w:hAnsi="Times New Roman"/>
          <w:sz w:val="18"/>
          <w:szCs w:val="18"/>
          <w:color w:val="auto"/>
        </w:rPr>
        <w:t xml:space="preserve"> The Company will maintain in the United States of America an office or agency where the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made.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give prompt written notice to the Trustee of the location, and any change in the location, of such office or agency. If at any time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fail to maintain any such required office or agency or shall fail to furnish the Trustee with the address thereof, such presentations, surrenders, notices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demands may be made at the Corporate Trust Office or the office or agency of the Trustee in the United States of America, or any other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of America so designated by the Trustee as a place where Notes may be presented for payment or for registration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 shall not be deemed an agent of the Company for service of legal process.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187"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47" w:name="page148"/>
    <w:bookmarkEnd w:id="147"/>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67" w:lineRule="exact"/>
        <w:rPr>
          <w:sz w:val="20"/>
          <w:szCs w:val="20"/>
          <w:color w:val="auto"/>
        </w:rPr>
      </w:pPr>
    </w:p>
    <w:p>
      <w:pPr>
        <w:ind w:left="440" w:firstLine="419"/>
        <w:spacing w:after="0" w:line="282" w:lineRule="auto"/>
        <w:tabs>
          <w:tab w:leader="none" w:pos="10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Fundamental Change Repurchase Price, if applicable) of, and accrued and unpaid Special Interest, if any, on, the Notes in trust for the benefit of the Holders of the Notes;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Fundamental Change Repurchase Price, if applicable) of, and any accrued and unpaid Special Interest on, the Notes when the same shall be due and payable;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Fundamental Change Repurchase Price, if applicable) of, or accrued and unpaid Special Interest, if any, on, the Notes, deposit with the Paying Agent a sum sufficient to pay such principal (including the Fundamental Change Repurchase Price, if applicable) or such accrued and unpaid Special Interest, if any,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ind w:right="60" w:firstLine="436"/>
        <w:spacing w:after="0" w:line="256"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Fundamental Change Repurchase Price, if applicable) of, and accrued and unpaid Special Interest, if any, on, the Notes, set aside, segregate and hold in trust for the benefit of the Holders of the Notes a sum sufficient to pay such principal (including the Fundamental Change Repurchase Price, if applicable) and any such accrued and unpaid Special Interest so becoming due and will promptly notify the Trustee in writing of any failure to take such action and of any failure by the Company to make any payment of the principal (including the Fundamental Change Repurchase Price, if applicable) of, or accrued and unpaid Special Interest, if any, on, the Notes when the same shall become due and payable.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148" w:name="page149"/>
    <w:bookmarkEnd w:id="148"/>
    <w:p>
      <w:pPr>
        <w:ind w:right="80" w:firstLine="436"/>
        <w:spacing w:after="0" w:line="258"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abandoned property laws, any money and shares of Common Stock deposited with the Trustee, the Conversion Agent or any Paying Agent, or then held by the Company, in trust for the payment of the principal (including the Fundamental Change Repurchase Price, if applicable) of, any accrued and unpaid Special Interest on and the consideration due upon conversion of any Note and remaining unclaimed for two years after such principal (including the Fundamental Change Repurchase Price, if applicable), any such Special Interest or such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specified in Section 6.01(i) or Section 6.01(j), the Trustee shall automatically be the Paying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84" w:lineRule="exact"/>
        <w:rPr>
          <w:sz w:val="20"/>
          <w:szCs w:val="20"/>
          <w:color w:val="auto"/>
        </w:rPr>
      </w:pPr>
    </w:p>
    <w:p>
      <w:pPr>
        <w:ind w:firstLine="436"/>
        <w:spacing w:after="0" w:line="254"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copies of any documents or reports that the Company is required to file with the Commission pursuant to Section 13(a) or 15(d) of the Exchange Act (excluding any such information, documents or reports, or portions thereof, subject to confidential treatment and any correspondence with the Commission) within 15 days after the same are required to be filed with the Commission (giving effect to all grace periods thereunder). Any such document or report that the Company files with the Commission via EDGAR (or any successor thereto) shall be deemed to be filed with the Trustee for purposes of this Section 4.06(b) at the time such documents or reports are filed via EDGAR (or such successor), it being understood that the Trustee shall not be responsible for determining whether such filings have been made. The “grace periods” referred to in this Section 4.06(b) with respect to any documents or reports shall include the maximum period afforded by Rule 12b-25 (or any successor rule thereto) under the Exchange Act regardless of whether the Company indicates in the related Form 12b-25 (or any successor form thereto) that the Company expects to or shall file such document or report before the expiration of such maximum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49" w:name="page150"/>
    <w:bookmarkEnd w:id="149"/>
    <w:p>
      <w:pPr>
        <w:ind w:left="-20" w:right="40" w:firstLine="436"/>
        <w:spacing w:after="0" w:line="261" w:lineRule="auto"/>
        <w:tabs>
          <w:tab w:leader="none" w:pos="6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the reports, information and documents described in Section 4.06(b)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79"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have been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 not include documents or reports that the Company furnishes to the Commission pursuant to Section 13 or 15(d) of the Exchange Act. The “grace periods” referred to in this Section 4.06(d) with respect to any document or report shall include the maximum period afforded by Rule 12b-25 (or any successor rule thereto) under the Exchange Act regardless of whether the Company indicates in the related Form 12b-25 (or any successor form thereto) that the Company expects to or shall file such document or report before the expiration of such maximum period.</w:t>
      </w:r>
    </w:p>
    <w:p>
      <w:pPr>
        <w:spacing w:after="0" w:line="197" w:lineRule="exact"/>
        <w:rPr>
          <w:rFonts w:ascii="Times New Roman" w:cs="Times New Roman" w:eastAsia="Times New Roman" w:hAnsi="Times New Roman"/>
          <w:sz w:val="18"/>
          <w:szCs w:val="18"/>
          <w:color w:val="auto"/>
        </w:rPr>
      </w:pPr>
    </w:p>
    <w:p>
      <w:pPr>
        <w:ind w:left="-20" w:right="80" w:firstLine="436"/>
        <w:spacing w:after="0" w:line="255" w:lineRule="auto"/>
        <w:tabs>
          <w:tab w:leader="none" w:pos="6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restrictive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375th day after the last date of original issuance of the Notes, the Company shall pay Special Interest on the Notes at a rate equal to 0.50% per annum of the principal amount of Notes outstanding for each day from, and including, such 375th day until the restrictive legend on the Notes has been removed in accordance with Section 2.05(c), the Notes are assigned an unrestricted CUSIP and the Notes are freely tradable pursuant to Rule 144 by Holders other than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150" w:name="page151"/>
    <w:bookmarkEnd w:id="1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Special Interest shall accrue or be owed pursuant to this Section 4.06(e) until the fifth Business Day following written notification to the Company by the Trustee (acting at the direction of Holders) or any Holder or beneficial owner of the Notes requesting that the Company comply with its obligations under this Section 4.06(e) (which notification may be given at any time after the 330th day after the last date of original issuance of the Notes), it being understood and agreed that in no event shall Special Interest accrue or be owed pursuant to this Section 4.06(e) for any period prior to the 375th day after the last date of original issuance of the Notes. Such accrual of Special Interest shall be the exclusive remedy available to Holders for the Company’s failure to remove the restrictive legend on the Notes specified in Section 2.05(c), the Notes being assigned a restricted CUSIP number or the Notes not otherwise being freely tradable as described in this Section 4.06(e);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does not pay such Special Interest when due, the Notes shall be subject to acceleration as provided in Section 6.02.</w:t>
      </w:r>
    </w:p>
    <w:p>
      <w:pPr>
        <w:spacing w:after="0" w:line="194" w:lineRule="exact"/>
        <w:rPr>
          <w:sz w:val="20"/>
          <w:szCs w:val="20"/>
          <w:color w:val="auto"/>
        </w:rPr>
      </w:pPr>
    </w:p>
    <w:p>
      <w:pPr>
        <w:ind w:left="660" w:hanging="224"/>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Interest will be payable in arrears on each Special Interest Payment Date following accrual as set forth in Section 2.03(b).</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Special Interest accrue under the terms of this Indenture (aggregating any Special Interest payable pursuant to Section 4.06(d) or Section 4.06(e) with any Special Interest payable pursuant to Section 6.03) at a rate in excess of 0.50% per annum, regardless of the number of events or circumstances giving rise to the requirement to pay such Special Interest.</w:t>
      </w:r>
    </w:p>
    <w:p>
      <w:pPr>
        <w:spacing w:after="0" w:line="175"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 The Trustee shall have no duty to verify the Company’s determination as to whether Special Interest is due or the Company’s calculations as to the amount of such Special Interest.</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Special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51" w:name="page152"/>
    <w:bookmarkEnd w:id="151"/>
    <w:p>
      <w:pPr>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4.08</w:t>
      </w:r>
      <w:r>
        <w:rPr>
          <w:rFonts w:ascii="Times New Roman" w:cs="Times New Roman" w:eastAsia="Times New Roman" w:hAnsi="Times New Roman"/>
          <w:sz w:val="18"/>
          <w:szCs w:val="18"/>
          <w:i w:val="1"/>
          <w:iCs w:val="1"/>
          <w:color w:val="auto"/>
        </w:rPr>
        <w:t>. Compliance Certificate; Statements as to Defaults.</w:t>
      </w:r>
      <w:r>
        <w:rPr>
          <w:rFonts w:ascii="Times New Roman" w:cs="Times New Roman" w:eastAsia="Times New Roman" w:hAnsi="Times New Roman"/>
          <w:sz w:val="18"/>
          <w:szCs w:val="18"/>
          <w:color w:val="auto"/>
        </w:rPr>
        <w:t xml:space="preserve"> The Company shall deliver to the Trustee within 120 days after the end of each fiscal year of the Company (beginning with the fiscal year ending on December 31, 2026) an Officer’s Certificate stating whether the signers thereof have knowledge of any Default that has occurred and, if so, specifying each such Default and the nature thereof.</w:t>
      </w:r>
    </w:p>
    <w:p>
      <w:pPr>
        <w:spacing w:after="0" w:line="17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as soon as possible, and in any event within 30 days after the Company first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deliver such notice if such Event of Default or Default has been cured (or deemed cured) or waived prior to the date that such notice is due.</w:t>
      </w:r>
    </w:p>
    <w:p>
      <w:pPr>
        <w:spacing w:after="0" w:line="178" w:lineRule="exact"/>
        <w:rPr>
          <w:sz w:val="20"/>
          <w:szCs w:val="20"/>
          <w:color w:val="auto"/>
        </w:rPr>
      </w:pPr>
    </w:p>
    <w:p>
      <w:pPr>
        <w:ind w:left="4" w:right="200" w:firstLine="440"/>
        <w:spacing w:after="0" w:line="284"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Section 5.01</w:t>
      </w:r>
      <w:r>
        <w:rPr>
          <w:rFonts w:ascii="Times New Roman" w:cs="Times New Roman" w:eastAsia="Times New Roman" w:hAnsi="Times New Roman"/>
          <w:sz w:val="17"/>
          <w:szCs w:val="17"/>
          <w:i w:val="1"/>
          <w:iCs w:val="1"/>
          <w:color w:val="auto"/>
        </w:rPr>
        <w:t>. Lists of Holders.</w:t>
      </w:r>
      <w:r>
        <w:rPr>
          <w:rFonts w:ascii="Times New Roman" w:cs="Times New Roman" w:eastAsia="Times New Roman" w:hAnsi="Times New Roman"/>
          <w:sz w:val="17"/>
          <w:szCs w:val="17"/>
          <w:color w:val="auto"/>
        </w:rPr>
        <w:t xml:space="preserve"> The Company covenants and agrees that it will furnish or cause to be furnished to the Trustee or any Paying Agent,</w:t>
      </w:r>
    </w:p>
    <w:p>
      <w:pPr>
        <w:spacing w:after="0" w:line="41" w:lineRule="exact"/>
        <w:rPr>
          <w:sz w:val="20"/>
          <w:szCs w:val="20"/>
          <w:color w:val="auto"/>
        </w:rPr>
      </w:pPr>
    </w:p>
    <w:p>
      <w:pPr>
        <w:ind w:left="4" w:hanging="4"/>
        <w:spacing w:after="0" w:line="252" w:lineRule="auto"/>
        <w:tabs>
          <w:tab w:leader="none" w:pos="2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at all such times when Special Interest is payable on the Notes, semi-annually, not more than 15 days prior to each May 15 and November 15 in each year beginning with November 15, 2026, and (ii)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8"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8" w:right="479" w:bottom="1440" w:gutter="0" w:footer="0" w:header="0"/>
        </w:sectPr>
      </w:pPr>
    </w:p>
    <w:bookmarkStart w:id="152" w:name="page153"/>
    <w:bookmarkEnd w:id="15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684" w:hanging="244"/>
        <w:spacing w:after="0"/>
        <w:tabs>
          <w:tab w:leader="none" w:pos="6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Special Interest on any Note when due and payable and the default continues for a period of 30 consecutive days;</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8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three Business Days;</w:t>
      </w:r>
    </w:p>
    <w:p>
      <w:pPr>
        <w:spacing w:after="0" w:line="161"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 a notice of a Make-Whole Fundamental Change in accordance with Section 14.03(b) or a notice in accordance with Section 14.01(b)(ii) or (iii), in each case when due, and such failure continues for a period of three Business Days;</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6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ind w:left="4" w:right="120" w:firstLine="436"/>
        <w:spacing w:after="0" w:line="272" w:lineRule="auto"/>
        <w:tabs>
          <w:tab w:leader="none" w:pos="699"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the Company or any Significant Subsidiary with respect to any mortgage, agreement or other instrument under which there may be outstanding, or by which there may be secured or evidenced, any indebtedness for money borrowed in excess of $300,000,000 (or its foreign currency equivalent) in the aggregate of the Company and/or any Significant Subsidiary, whether such indebtedness now exists or shall hereafter be created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such indebtedness becoming or being declared due and payable prior to its scheduled maturity or (ii) constituting a failure to pay the principal or interest of any such debt when due and payable at its stated maturity, upon required repurchase, upon declaration of acceleration or otherwise (beyond any applicable grace or cure period, if any), if such default is not cured or waived, or such acceleration is not rescinded or annulled, or such indebtedness is not paid or discharged, as the case may be, within 30 days after written notice to the Company from the Trustee or the Holders of at least 25% in aggregate principal amount of Notes then outstanding, in accordance with this Indenture;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153" w:name="page154"/>
    <w:bookmarkEnd w:id="153"/>
    <w:p>
      <w:pPr>
        <w:jc w:val="both"/>
        <w:ind w:right="160" w:firstLine="436"/>
        <w:spacing w:after="0" w:line="261"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final judgment or judgments for the payment of $300,000,000 (or its foreign currency equivalent) or more (excluding any amounts covered by insurance) in the aggregate rendered against the Company or any Significant Subsidiary, which judgment is not discharged, satisfied, paid, waived, bonded or stayed within 60 days after (i) the date on which the right to appeal thereof has expired if no such appeal has commenced, or (ii) the date on which all rights to appeal have been extinguished;</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Significant Subsidiary or its debts under any bankruptcy, insolvency or other similar law now or hereafter in effect or seeking the appointment of a trustee, receiver, liquidator, custodian or other similar official of the Company or any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w:t>
      </w:r>
    </w:p>
    <w:p>
      <w:pPr>
        <w:spacing w:after="0" w:line="27"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8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Acceleration; Rescission and Annulment</w:t>
      </w:r>
      <w:r>
        <w:rPr>
          <w:rFonts w:ascii="Times New Roman" w:cs="Times New Roman" w:eastAsia="Times New Roman" w:hAnsi="Times New Roman"/>
          <w:sz w:val="17"/>
          <w:szCs w:val="17"/>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unless the principal of, and accrued and unpaid Special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Special Interest, if any, on, all the Notes to be due and payable immediately, and upon any such declaration the same shall become and shall automatically be immediately due and payable, anything in this Indenture or in the Notes contained to the contrary notwithstanding. For the avoidance of doubt, if such Event of Default is not continuing at the time such notice is provided (that is, such Event of Default has been cured or waived as of such time), then such notice shall not be effective to cause such amounts to become due and payable immediately. If an Event of Default specified in Section 6.01(i) or Section 6.01(j) with respect to the Company occurs and is continuing, 100% of the principal of, and accrued and unpaid Special Interest, if any, on, all Notes shall become and shall automatically be immediately due and payable.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54" w:name="page155"/>
    <w:bookmarkEnd w:id="15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Special Interest, if any, upon all Notes and the principal of any and all Notes that shall have become due otherwise than by acceleration (with interest on overdue installments of accrued and unpaid Special Interest, if any, and on such principal, at the then-applicable Special Interest rate borne by the Notes, if Special Interest was payable at such time, to the extent such interest is permitted by law)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any accrued and unpaid Special Interest on, any Notes, (ii) a failure to repurchase any Notes when required or (iii) a failure to pay and, if applicable, deliver the consideration due upon conversion of the Notes.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can be cured,</w:t>
      </w:r>
    </w:p>
    <w:p>
      <w:pPr>
        <w:spacing w:after="0" w:line="225" w:lineRule="exact"/>
        <w:rPr>
          <w:sz w:val="20"/>
          <w:szCs w:val="20"/>
          <w:color w:val="auto"/>
        </w:rPr>
      </w:pPr>
    </w:p>
    <w:p>
      <w:pPr>
        <w:ind w:left="680" w:hanging="244"/>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consisting of a failure to send a notice in accordance with the terms of this Indenture shall be cured upon the sending of such notice;</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consisting of a failure to make any payment on (or deliver any other consideration in respect of) any Note shall be cured upon the delivery, in accordance with this Indenture, of such payment (or other consideration) together, if applicable, with Special Interest, if applicable, and interest payable pursuant to Section 2.03(c), if applicable, thereon; and</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that is (or, after notice, passage of time or both, would be) a Reporting Event of Default shall be cured upon the filing of the relevant document(s) or report(s) giving rise to such Default.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for the avoidance of doubt, if a Default that is not an Event of Default is cured or waived before such Default would have constituted an Event of Default, then no Event of Default shall result from such Default.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55" w:name="page156"/>
    <w:bookmarkEnd w:id="155"/>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6.03. </w:t>
      </w:r>
      <w:r>
        <w:rPr>
          <w:rFonts w:ascii="Times New Roman" w:cs="Times New Roman" w:eastAsia="Times New Roman" w:hAnsi="Times New Roman"/>
          <w:sz w:val="18"/>
          <w:szCs w:val="18"/>
          <w:i w:val="1"/>
          <w:iCs w:val="1"/>
          <w:color w:val="auto"/>
        </w:rPr>
        <w:t>Special Interest</w:t>
      </w:r>
      <w:r>
        <w:rPr>
          <w:rFonts w:ascii="Times New Roman" w:cs="Times New Roman" w:eastAsia="Times New Roman" w:hAnsi="Times New Roman"/>
          <w:sz w:val="18"/>
          <w:szCs w:val="18"/>
          <w:color w:val="auto"/>
        </w:rPr>
        <w:t>. Notwithstanding anything in this Indenture or in the Notes to the contrary, to the extent the Company elects, the sole remedy for an Event of Default relating to the Company’s failure to comply with its obligations as set forth in Section 4.06(b) (any such 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for the first 360 days after the occurrence and during the continuance of such Reporting Event of Default (and, for the avoidance of doubt, giving effect to the 60-day period set forth in Section 6.01(f)), consist exclusively of the right to receive Special Interest on the Notes at a rate equal to (i) 0.25% per annum of the principal amount of the Notes outstanding for each day during the first 180 calendar days after the occurrence of such Reporting Event of Default during which such Reporting Event of Default is continuing (or, if earlier, the date on which such Reporting Event of Default is cured or waived as provided for in this Indenture) and (ii) 0.50% per annum of the principal amount of the Notes outstanding for each day from, and including, the 181st calendar day to, but excluding, the 360th calendar day after the occurrence of such Reporting Event of Default during which such Reporting Event of Default is continuing (or, if earlier, the date on which such Reporting Event of Default is cured or waived as provided for in this Indenture). If the Company elects to pay Special Interest, such Special Interest shall be payable as set forth in Section 2.03(b). On the 361st day after such Reporting Event of Default (if such Reporting Event of Default is not cured or waived prior to such 361st day), the Notes shall be immediately subject to acceleration as provided in Section 6.02. In the event the Company does not elect to pay Special Interest following a Reporting Event of Default in accordance with this Section 6.03 or the Company elected to make such payment but does not pay the Special Interest when due, the Notes shall be immediately subject to acceleration as provided in Section 6.02. For the avoidance of doubt, a Reporting Event of Default shall be deemed cured at such time as the Company files with the Trustee the applicable document(s) or report(s) that gave rise to such Reporting Event of Default (it being understood that any document or report that the Company files with the Commission via EDGAR (or any successor thereto) shall be deemed to be filed with the Trustee as of the time such document or report is so filed via EDGAR (or such successor)).</w:t>
      </w:r>
    </w:p>
    <w:p>
      <w:pPr>
        <w:spacing w:after="0" w:line="19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order to elect to pay Special Interest as the sole remedy during the first 360 days after the occurrence of any Reporting Event of Default, the Company must notify all Holders of the Notes, the Trustee and the Paying Agent of such election prior to the beginning of such 360-day period. Upon the failure to timely give such notice, the Notes shall be immediately subject to acceleration as provided in Section 6.02.</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no event shall Special Interest accrue under the terms of this Indenture (aggregating any Special Interest payable pursuant to this Section 6.03 with any Special Interest payable pursuant to Section 4.06(d) or Section 4.06(e)) at a rate in excess of 0.50% per annum, regardless of the number of events or circumstances giving rise to the requirement to pay such Special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6.03 shall not affect the rights of Holders in the event of the occurrence of any other Event of Default.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8" w:right="439" w:bottom="1440" w:gutter="0" w:footer="0" w:header="0"/>
        </w:sectPr>
      </w:pPr>
    </w:p>
    <w:bookmarkStart w:id="156" w:name="page157"/>
    <w:bookmarkEnd w:id="1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occurred, the Company shall, upon demand of the Trustee, pay to the Trustee, for the benefit of the Holders of the Notes, the whole amount then due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 the Notes for principal and Special Interest, if any (with no interest accruing on any overdue principal or Special Interest, if any,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was payable pursuant to this Indenture on the required payment date, in which case such overdue amounts shall accrue interest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at the then-applicable Special Interest rate borne by the Notes, subject to the enforceability thereof under applicable law, from and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required payment date), and, in addition thereto, such further amount as shall be sufficient to cover any amounts due to the Trustee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If the Company shall fail to pay such amounts forthwith upon such demand, the Trustee, in its own name and as trustee of an express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institute a judicial proceeding for the collection of the sums so due and unpaid, may prosecute such proceeding to judgment or final decree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the same against the Company or any other obligor upon the Notes and collect the moneys adjudged or decreed to be payable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law out of the property of the Company or any other obligor upon the Notes, wherever situated.</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Special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8" w:right="459" w:bottom="1440" w:gutter="0" w:footer="0" w:header="0"/>
        </w:sectPr>
      </w:pPr>
    </w:p>
    <w:bookmarkStart w:id="157" w:name="page158"/>
    <w:bookmarkEnd w:id="157"/>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each of its capacities hereunder) under this Indenture;</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any accrued and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Interest on, and any cash due upon conversion of, the Notes in default in the order of the date due of the payments of such interest and cash due upon conversion, as the case may be, with interest (to the extent that such interest is permitted by applicable law and has been collected by the Trustee) upon such overdue amounts at the rate of Special Interest then payable on such Notes, if any, such payments to be made ratably to the Persons entitled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158" w:name="page159"/>
    <w:bookmarkEnd w:id="158"/>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Fundamental Change Repurchase Price and any cash due upon conversion) then owing and unpaid upon the Notes for principal and accrued and unpaid Special Interest, if any, with interest (to the extent any Special Interest is then payable on the Notes) on the overdue principal and (to the extent that such interest is permitted by applicable law and has been collected by the Trustee) upon such overdue installments of interest at the rate of Special Interest borne by the Notes at such time, and in case such monies shall be insufficient to pay in full the whole amounts so due and unpaid upon the Notes, then to the payment of such principal (including, if applicable, the Fundamental Change Repurchase Price and the cash due upon conversion) and any accrued and unpaid Special Interest without preference or priority of principal over any accrued and unpaid Special Interest, or of any accrued and unpaid Special Interest over principal, or of any installment of accrued and unpaid Special Interest over any other installment of accrued and unpaid Special Interest, or of any Note over any other Note, ratably to the aggregate of such principal (including, if applicable, the Fundamental Change Repurchase Price and any cash due upon conversion) and any accrued and unpaid Special Interest; and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Fundamental Change Repurchase Price) or Special Interest, if any, when due, or the right to receive payment and, if applicable,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680" w:hanging="244"/>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previously shall have given to the Trustee written notice of an Event of Default and of the continuance thereof, as herein provided;</w:t>
      </w:r>
    </w:p>
    <w:p>
      <w:pPr>
        <w:spacing w:after="0" w:line="236"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shall have neglected or refused to institute any such action, suit or proceeding;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159" w:name="page160"/>
    <w:bookmarkEnd w:id="159"/>
    <w:p>
      <w:pPr>
        <w:ind w:firstLine="436"/>
        <w:spacing w:after="0" w:line="282"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whatsoever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160" w:name="page161"/>
    <w:bookmarkEnd w:id="160"/>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6.09</w:t>
      </w:r>
      <w:r>
        <w:rPr>
          <w:rFonts w:ascii="Times New Roman" w:cs="Times New Roman" w:eastAsia="Times New Roman" w:hAnsi="Times New Roman"/>
          <w:sz w:val="18"/>
          <w:szCs w:val="18"/>
          <w:i w:val="1"/>
          <w:iCs w:val="1"/>
          <w:color w:val="auto"/>
        </w:rPr>
        <w:t>. 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such direction shall not be in conflict with any rule of law or with this Indenture, and (b) the Trustee may take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deemed proper by the Trustee that is not inconsistent with such direction.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and including waivers obtained in connection with a repurchase of, or tender or exchange offer for, Notes) may on behalf of the Holders of all of the Notes waive any past Default or Event of Default hereunder and its consequences except (i) a default in the payment of accrued and unpaid interest, if any, on, or the principal (including the Fundamental Change Repurchase Price, if applicable) of, the Notes when due that has not been cured, (ii) a failure by the Company to pay and, if applicable, deliver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w:t>
      </w:r>
    </w:p>
    <w:p>
      <w:pPr>
        <w:spacing w:after="0" w:line="19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it receives written notice of the occurrence and continuance of a Default of which it has actual knowledge, send to all Holders as the names and addresses of such Holders appear upon the Note Register, notice of all such Defaults,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Fundamental Change Repurchase Price, if applicable), or any accrued and unpaid Special Interest on, any of the Notes or a Default in the payment and, if applicable, delivery of the consideration due upon conversion, the Trustee shall be protected in withholding such notice if and so long as it in good faith determines that the withholding of such notice is in the interests of the Holders.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w:t>
      </w:r>
    </w:p>
    <w:p>
      <w:pPr>
        <w:spacing w:after="0" w:line="1"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7"/>
          <w:szCs w:val="17"/>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161" w:name="page162"/>
    <w:bookmarkEnd w:id="16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8.04, or to any suit instituted by any Holder for the enforcement of the payment of the principal of (including, but not limited to, the Fundamental Change Repurchase Price, if applicable) or accrued and unpaid Special Interest, if any, on any Note on or after the due date expressed or provided for in such Note or to any suit for the enforcement of the right to convert any Note in accordance with the provisions of Article 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the Trustee indemnity or security satisfactory to the Trustee against any loss, liability or expense that might be incurred by it in compliance with such request or direction.</w:t>
      </w:r>
    </w:p>
    <w:p>
      <w:pPr>
        <w:spacing w:after="0" w:line="18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680" w:hanging="244"/>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7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2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162" w:name="page163"/>
    <w:bookmarkEnd w:id="162"/>
    <w:p>
      <w:pPr>
        <w:ind w:right="140" w:firstLine="436"/>
        <w:spacing w:after="0" w:line="282"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ind w:right="100" w:firstLine="436"/>
        <w:spacing w:after="0" w:line="266"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8" w:right="439" w:bottom="1440" w:gutter="0" w:footer="0" w:header="0"/>
        </w:sectPr>
      </w:pPr>
    </w:p>
    <w:bookmarkStart w:id="164" w:name="page165"/>
    <w:bookmarkEnd w:id="164"/>
    <w:p>
      <w:pPr>
        <w:ind w:left="4" w:right="60" w:firstLine="436"/>
        <w:spacing w:after="0" w:line="266" w:lineRule="auto"/>
        <w:tabs>
          <w:tab w:leader="none" w:pos="6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will be under no obligation to exercise any of the rights or powers vested in it by this Indenture at the request or direction of any of the Holders unless such Holders have offered to the Trustee indemnity or security satisfactory to the Trustee against the losses, liabilities and expenses that might be incurred by it in compliance with such request or direction.</w:t>
      </w:r>
    </w:p>
    <w:p>
      <w:pPr>
        <w:spacing w:after="0" w:line="176"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In no event shall the Trustee be liable for any special, indirect, consequential or punitive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w:t>
      </w:r>
    </w:p>
    <w:p>
      <w:pPr>
        <w:spacing w:after="0" w:line="3" w:lineRule="exact"/>
        <w:rPr>
          <w:sz w:val="20"/>
          <w:szCs w:val="20"/>
          <w:color w:val="auto"/>
        </w:rPr>
      </w:pPr>
    </w:p>
    <w:p>
      <w:pPr>
        <w:ind w:left="4" w:right="120" w:hanging="4"/>
        <w:spacing w:after="0" w:line="260"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such Default or Event of Default shall have been given to the Trustee in accordance with Section 17.03 by the Company or by any Holder of the Notes.</w:t>
      </w:r>
    </w:p>
    <w:p>
      <w:pPr>
        <w:spacing w:after="0" w:line="17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left="4" w:right="320" w:firstLine="440"/>
        <w:spacing w:after="0" w:line="267"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or Note Registrar, in its individual or any other capacity, may become the owner or pledgee of Notes with the same rights it would have if it were not the Trustee, Paying Agent, Conversion Agent, Bid Solicitation Agent or Note Registrar.</w:t>
      </w:r>
    </w:p>
    <w:p>
      <w:pPr>
        <w:spacing w:after="0" w:line="17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Common Stock to Be Held in Trust.</w:t>
      </w:r>
      <w:r>
        <w:rPr>
          <w:rFonts w:ascii="Times New Roman" w:cs="Times New Roman" w:eastAsia="Times New Roman" w:hAnsi="Times New Roman"/>
          <w:sz w:val="18"/>
          <w:szCs w:val="18"/>
          <w:color w:val="auto"/>
        </w:rPr>
        <w:t xml:space="preserve"> All monies and any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any interest on any money or shares of Common Stock received by it hereunder except as may be agreed from time to time by the Company and the Trustee.</w:t>
      </w:r>
    </w:p>
    <w:p>
      <w:pPr>
        <w:spacing w:after="0" w:line="183"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in any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70" w:right="479" w:bottom="1440" w:gutter="0" w:footer="0" w:header="0"/>
        </w:sectPr>
      </w:pPr>
    </w:p>
    <w:bookmarkStart w:id="165" w:name="page166"/>
    <w:bookmarkEnd w:id="16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(whether asserted by the Company, a Holder or any Person), damage, liability or expense incurred without gross negligence or willful misconduct on the part of the 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166" w:name="page167"/>
    <w:bookmarkEnd w:id="166"/>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4"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Section 7.09</w:t>
      </w:r>
      <w:r>
        <w:rPr>
          <w:rFonts w:ascii="Times New Roman" w:cs="Times New Roman" w:eastAsia="Times New Roman" w:hAnsi="Times New Roman"/>
          <w:sz w:val="17"/>
          <w:szCs w:val="17"/>
          <w:i w:val="1"/>
          <w:iCs w:val="1"/>
          <w:color w:val="auto"/>
        </w:rPr>
        <w:t>. Resignation or Removal of Trustee.</w:t>
      </w:r>
      <w:r>
        <w:rPr>
          <w:rFonts w:ascii="Times New Roman" w:cs="Times New Roman" w:eastAsia="Times New Roman" w:hAnsi="Times New Roman"/>
          <w:sz w:val="17"/>
          <w:szCs w:val="17"/>
          <w:color w:val="auto"/>
        </w:rPr>
        <w:t xml:space="preserve"> (a) The Trustee may at any time resign by giving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mailing of such notice of resignation to the Holders, the resigning Trustee may, upon ten Business Days’ notice to the Company and the Holders and at the expense of the Company,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75" w:lineRule="exact"/>
        <w:rPr>
          <w:sz w:val="20"/>
          <w:szCs w:val="20"/>
          <w:color w:val="auto"/>
        </w:rPr>
      </w:pPr>
    </w:p>
    <w:p>
      <w:pPr>
        <w:ind w:left="700" w:hanging="264"/>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07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167" w:name="page168"/>
    <w:bookmarkEnd w:id="167"/>
    <w:p>
      <w:pPr>
        <w:ind w:right="160" w:firstLine="436"/>
        <w:spacing w:after="0" w:line="281" w:lineRule="auto"/>
        <w:tabs>
          <w:tab w:leader="none" w:pos="68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4" w:lineRule="exact"/>
        <w:rPr>
          <w:rFonts w:ascii="Times New Roman" w:cs="Times New Roman" w:eastAsia="Times New Roman" w:hAnsi="Times New Roman"/>
          <w:sz w:val="17"/>
          <w:szCs w:val="17"/>
          <w:color w:val="auto"/>
        </w:rPr>
      </w:pPr>
    </w:p>
    <w:p>
      <w:pPr>
        <w:ind w:right="220"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7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68" w:name="page169"/>
    <w:bookmarkEnd w:id="168"/>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jc w:val="both"/>
        <w:ind w:left="4" w:right="240" w:firstLine="440"/>
        <w:spacing w:after="0" w:line="273"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4" w:right="60" w:hanging="4"/>
        <w:spacing w:after="0" w:line="252" w:lineRule="auto"/>
        <w:tabs>
          <w:tab w:leader="none" w:pos="24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169" w:name="page170"/>
    <w:bookmarkEnd w:id="169"/>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r>
        <w:rPr>
          <w:rFonts w:ascii="Times New Roman" w:cs="Times New Roman" w:eastAsia="Times New Roman" w:hAnsi="Times New Roman"/>
          <w:sz w:val="18"/>
          <w:szCs w:val="18"/>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the Fundamental Change Repurchase Price, if applicable) of and (subject to Section 2.03) accrued and unpaid Special Interest, if any,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68" w:right="51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8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207" w:lineRule="exact"/>
        <w:rPr>
          <w:sz w:val="20"/>
          <w:szCs w:val="20"/>
          <w:color w:val="auto"/>
        </w:rPr>
      </w:pPr>
    </w:p>
    <w:p>
      <w:pPr>
        <w:jc w:val="both"/>
        <w:ind w:right="100" w:firstLine="436"/>
        <w:spacing w:after="0" w:line="266"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71" w:name="page172"/>
    <w:bookmarkEnd w:id="171"/>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spacing w:after="0" w:line="18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spacing w:after="0" w:line="183"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7"/>
          <w:szCs w:val="17"/>
          <w:color w:val="auto"/>
        </w:rPr>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172" w:name="page173"/>
    <w:bookmarkEnd w:id="17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9 shall be deemed or construed to limit any Holder’s actions pursuant to the applicable procedures of the Depositary so long as the Notes are Global Notes.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73" w:name="page174"/>
    <w:bookmarkEnd w:id="17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20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680" w:hanging="244"/>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Defaults of the Company for the benefit of the Holders or surrender any right or power conferred upon the Company under this Indenture;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pursuant to Section 7.10 or a successor Note Registrar, Paying Agent, Bid Solicitation Agent or Conversion Agent pursuant to the terms of this Indenture or to facilitate the administration of the trusts under this Indenture by more than one trustee;</w:t>
      </w:r>
    </w:p>
    <w:p>
      <w:pPr>
        <w:spacing w:after="0" w:line="173" w:lineRule="exact"/>
        <w:rPr>
          <w:rFonts w:ascii="Times New Roman" w:cs="Times New Roman" w:eastAsia="Times New Roman" w:hAnsi="Times New Roman"/>
          <w:sz w:val="18"/>
          <w:szCs w:val="18"/>
          <w:color w:val="auto"/>
        </w:rPr>
      </w:pPr>
    </w:p>
    <w:p>
      <w:pPr>
        <w:ind w:right="260" w:firstLine="436"/>
        <w:spacing w:after="0" w:line="284"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Cash Percentage with respect to conversions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election shall affect any Cash Percentage theretofore elected (or deemed to be elected) with respect to any Note pursuant to the provisions of Section 14.02;</w:t>
      </w:r>
    </w:p>
    <w:p>
      <w:pPr>
        <w:spacing w:after="0" w:line="160" w:lineRule="exact"/>
        <w:rPr>
          <w:rFonts w:ascii="Times New Roman" w:cs="Times New Roman" w:eastAsia="Times New Roman" w:hAnsi="Times New Roman"/>
          <w:sz w:val="18"/>
          <w:szCs w:val="18"/>
          <w:color w:val="auto"/>
        </w:rPr>
      </w:pPr>
    </w:p>
    <w:p>
      <w:pPr>
        <w:ind w:right="160" w:firstLine="436"/>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 as set forth in an Officer’s Certificate;</w:t>
      </w:r>
    </w:p>
    <w:p>
      <w:pPr>
        <w:spacing w:after="0" w:line="161" w:lineRule="exact"/>
        <w:rPr>
          <w:rFonts w:ascii="Times New Roman" w:cs="Times New Roman" w:eastAsia="Times New Roman" w:hAnsi="Times New Roman"/>
          <w:sz w:val="18"/>
          <w:szCs w:val="18"/>
          <w:color w:val="auto"/>
        </w:rPr>
      </w:pPr>
    </w:p>
    <w:p>
      <w:pPr>
        <w:ind w:right="420" w:firstLine="436"/>
        <w:spacing w:after="0" w:line="312" w:lineRule="auto"/>
        <w:tabs>
          <w:tab w:leader="none" w:pos="69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Specified Transaction, to provide that the Notes are convertible into Reference Property, subject to the provisions described in Section 14.02, and make certain related changes to the terms of the Notes to the extent expressly required under this Indenture;</w:t>
      </w:r>
    </w:p>
    <w:p>
      <w:pPr>
        <w:spacing w:after="0" w:line="13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Section 2.10; or</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 in a manner that does not adversely affect the rights of any Holder.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174" w:name="page175"/>
    <w:bookmarkEnd w:id="17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written request of the Company and subject to Section 10.05, the Trustee is hereby authorized to, and shall join with the Company in the execution of any such supplemental indenture and to make any further appropriate agreements and stipulations that may be therein contained, except that the Trustee shall not be obligated to, but may in its discretion, enter into any supplemental indenture that affects the Trustee’s own rights, duties or immunities under this Indenture or otherwise.</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any supplemental indenture or the Notes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185" w:lineRule="exact"/>
        <w:rPr>
          <w:sz w:val="20"/>
          <w:szCs w:val="20"/>
          <w:color w:val="auto"/>
        </w:rPr>
      </w:pPr>
    </w:p>
    <w:p>
      <w:pPr>
        <w:ind w:left="680" w:hanging="244"/>
        <w:spacing w:after="0"/>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any Special Interest or interest payable pursuant to Section 2.03(c)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Maturity Date of any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175" w:name="page176"/>
    <w:bookmarkEnd w:id="17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that the supplemental indenture constitutes the legal, valid and binding obligation of the Company enforceable in accordance with its terms, subject to customary exceptions and qualifications.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20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its properties and assets to another Person (other than one or more of the Company’s direct or indirect wholly owned Subsidiaries), unless:</w:t>
      </w:r>
    </w:p>
    <w:p>
      <w:pPr>
        <w:spacing w:after="0" w:line="171" w:lineRule="exact"/>
        <w:rPr>
          <w:sz w:val="20"/>
          <w:szCs w:val="20"/>
          <w:color w:val="auto"/>
        </w:rPr>
      </w:pPr>
    </w:p>
    <w:p>
      <w:pPr>
        <w:ind w:right="80" w:firstLine="436"/>
        <w:spacing w:after="0" w:line="262"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76" w:name="page177"/>
    <w:bookmarkEnd w:id="1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immediately after giving effect to such transaction, no Default or Event of Default shall have occurred and be continuing under this Indenture.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r>
        <w:rPr>
          <w:rFonts w:ascii="Times New Roman" w:cs="Times New Roman" w:eastAsia="Times New Roman" w:hAnsi="Times New Roman"/>
          <w:sz w:val="18"/>
          <w:szCs w:val="18"/>
          <w:color w:val="auto"/>
        </w:rPr>
        <w:t xml:space="preserve"> In case of any such consolidation, merger, sale, conveyance, transfer or lease and upon the assumption by the Successor Company, by supplemental indenture (if required by Section 11.01), executed and delivered to the Trustee and satisfactory in form to the Trustee, of the due and punctual payment of the principal of and any accrued and unpaid Special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177" w:name="page178"/>
    <w:bookmarkEnd w:id="17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lease, such changes in phraseology and form (but not in substance) may be made in the Notes thereafter to be issued as may be appropriate.</w:t>
      </w:r>
    </w:p>
    <w:p>
      <w:pPr>
        <w:spacing w:after="0" w:line="160"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Section 11.03</w:t>
      </w:r>
      <w:r>
        <w:rPr>
          <w:rFonts w:ascii="Times New Roman" w:cs="Times New Roman" w:eastAsia="Times New Roman" w:hAnsi="Times New Roman"/>
          <w:sz w:val="17"/>
          <w:szCs w:val="17"/>
          <w:i w:val="1"/>
          <w:iCs w:val="1"/>
          <w:color w:val="auto"/>
        </w:rPr>
        <w:t>. Officer’s Certificate and Opinion of Counsel to Be Given to Trustee.</w:t>
      </w:r>
      <w:r>
        <w:rPr>
          <w:rFonts w:ascii="Times New Roman" w:cs="Times New Roman" w:eastAsia="Times New Roman" w:hAnsi="Times New Roman"/>
          <w:sz w:val="17"/>
          <w:szCs w:val="17"/>
          <w:color w:val="auto"/>
        </w:rPr>
        <w:t xml:space="preserve">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and in the case of the Opinion of Counsel, that such supplemental indenture is the legal, valid and binding obligation of the relevant Successor Company, subject to customary exceptions and qualifications.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205"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Section 12.01</w:t>
      </w:r>
      <w:r>
        <w:rPr>
          <w:rFonts w:ascii="Times New Roman" w:cs="Times New Roman" w:eastAsia="Times New Roman" w:hAnsi="Times New Roman"/>
          <w:sz w:val="17"/>
          <w:szCs w:val="17"/>
          <w:i w:val="1"/>
          <w:iCs w:val="1"/>
          <w:color w:val="auto"/>
        </w:rPr>
        <w:t>. Indenture and Notes Solely Corporate Obligations.</w:t>
      </w:r>
      <w:r>
        <w:rPr>
          <w:rFonts w:ascii="Times New Roman" w:cs="Times New Roman" w:eastAsia="Times New Roman" w:hAnsi="Times New Roman"/>
          <w:sz w:val="17"/>
          <w:szCs w:val="17"/>
          <w:color w:val="auto"/>
        </w:rPr>
        <w:t xml:space="preserve"> No recourse for the payment of the principal of or any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Notes.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r>
        <w:rPr>
          <w:rFonts w:ascii="Times New Roman" w:cs="Times New Roman" w:eastAsia="Times New Roman" w:hAnsi="Times New Roman"/>
          <w:sz w:val="18"/>
          <w:szCs w:val="18"/>
          <w:color w:val="auto"/>
        </w:rPr>
        <w:t xml:space="preserve"> (a) Subject to and upon compliance with the provisions of this Article 14, each Holder of a Note shall have the right, at such Holder’s option, to convert all or any portion (if the portion to be converted is a minimum of $1,000 principal amount or a multiple of $1,000 in excess thereof) of such Note (i) subject to satisfaction of the conditions described in Section 14.01(b), at any time prior to the close of business on the Business Day immediately preceding January 15, 2032 under the circumstances and during the periods set forth in Section 14.01(b), and (ii) regardless of the conditions described in Section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178" w:name="page179"/>
    <w:bookmarkEnd w:id="17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14.01(b), on or after January 15, 2032 and prior to the close of business on the second Scheduled Trading Day immediately preceding the Maturity Date, in each case, at an initial conversion rate of 5.2408 shares of Common Stock (subject to adjustment as provided in this Article 14,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firstLine="419"/>
        <w:spacing w:after="0" w:line="251"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close of business on the Business Day immediately preceding January 15, 2032, a Holder may surrender all or any portion of its Notes for conversion at any time during the five Business Day period immediately after any five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Section 14.01(b)(i),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Section 14.01(b)(i)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who have agreed to deliver bids, along with appropriate contact information for each, and shall direct such securities dealers to provide the required information to the Bid Solicitation Agent.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of at least $1,000,000 aggregate principal amount of Notes requests in writing that the Company make such a determination and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instruct the Bid Solicitation Agent in writing to determine the Trading Price per $1,000 principal amount of Notes when obligated as provided in the preceding sentence, or if the Company so instructs the Bid Solicitation Agent to obtain bids and the Bid Solicitation Agent fails to make such determination, or (y) the Company is acting as Bid Solicitation Agent and the Company fails to determine the Trading Price per $1,000 principal amount of Notes when the Company is required to do so, then, in either case, the Trading Price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179" w:name="page180"/>
    <w:bookmarkEnd w:id="179"/>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of the Notes, the Trustee and the Conversion Agent (if other than the Trustee) in writing. Other than as set forth above, none of the Trustee, Bid Solicitation Agent or Conversion Agent shall have any duty to determine or verify the Company’s determination of whether the Trading Price condition set forth above has been met.</w:t>
      </w:r>
    </w:p>
    <w:p>
      <w:pPr>
        <w:spacing w:after="0" w:line="84" w:lineRule="exact"/>
        <w:rPr>
          <w:sz w:val="20"/>
          <w:szCs w:val="20"/>
          <w:color w:val="auto"/>
        </w:rPr>
      </w:pPr>
    </w:p>
    <w:p>
      <w:pPr>
        <w:ind w:left="684" w:hanging="261"/>
        <w:spacing w:after="0"/>
        <w:tabs>
          <w:tab w:leader="none" w:pos="6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January 15, 2032, the Company elects to:</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8" w:lineRule="auto"/>
        <w:tabs>
          <w:tab w:leader="none" w:pos="123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all or substantially all holders of the Common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75" w:lineRule="exact"/>
        <w:rPr>
          <w:rFonts w:ascii="Times New Roman" w:cs="Times New Roman" w:eastAsia="Times New Roman" w:hAnsi="Times New Roman"/>
          <w:sz w:val="18"/>
          <w:szCs w:val="18"/>
          <w:color w:val="auto"/>
        </w:rPr>
      </w:pPr>
    </w:p>
    <w:p>
      <w:pPr>
        <w:ind w:left="544" w:firstLine="408"/>
        <w:spacing w:after="0" w:line="261" w:lineRule="auto"/>
        <w:tabs>
          <w:tab w:leader="none" w:pos="122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Stock the Company’s assets, securities or rights to purchase securities of the Company (other than in connection with a stockholder rights plan prior to the separation of the relevant rights), which distribution has a per share value, as reasonably determined by the Board of Directors, exceeding 10% of the Last Reported Sale Price of the Common Stock on the Trading Day preceding the date of announcement for such distribution;</w:t>
      </w:r>
    </w:p>
    <w:p>
      <w:pPr>
        <w:spacing w:after="0" w:line="72"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then, in either case, the Company shall notify all Holders of the Notes, the Trustee and the Conversion Agent (if other than the Trustee) at least 30 Scheduled Trading Days prior to the Ex-Dividend Date for such issuance or distribution.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None of the Trustee, Bid Solicitation Agent or Conversion Agent shall have any duty to determine or verify the Company’s determination of whether an issuance or distribution described in this clause</w:t>
      </w:r>
    </w:p>
    <w:p>
      <w:pPr>
        <w:spacing w:after="0" w:line="5" w:lineRule="exact"/>
        <w:rPr>
          <w:sz w:val="20"/>
          <w:szCs w:val="20"/>
          <w:color w:val="auto"/>
        </w:rPr>
      </w:pPr>
    </w:p>
    <w:p>
      <w:pPr>
        <w:ind w:left="4" w:right="80" w:hanging="4"/>
        <w:spacing w:after="0" w:line="260" w:lineRule="auto"/>
        <w:tabs>
          <w:tab w:leader="none" w:pos="2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Holders of the Notes may not convert their Notes pursuant to this clause (ii) if they participate (other than in the case of a share split or share combination),</w:t>
      </w:r>
    </w:p>
    <w:p>
      <w:pPr>
        <w:spacing w:after="0" w:line="11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04"/>
          </w:cols>
          <w:pgMar w:left="876" w:top="270" w:right="519" w:bottom="1440" w:gutter="0" w:footer="0" w:header="0"/>
        </w:sectPr>
      </w:pPr>
    </w:p>
    <w:bookmarkStart w:id="180" w:name="page181"/>
    <w:bookmarkEnd w:id="180"/>
    <w:p>
      <w:pPr>
        <w:ind w:left="40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same time and upon the same terms as holders of the Common Stock and solely as a result of holding the Notes, in the relevant transaction described above without having to convert their Notes as if they held a number of shares of Common Stock equal to the applicable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68" w:lineRule="exact"/>
        <w:rPr>
          <w:sz w:val="20"/>
          <w:szCs w:val="20"/>
          <w:color w:val="auto"/>
        </w:rPr>
      </w:pPr>
    </w:p>
    <w:p>
      <w:pPr>
        <w:ind w:left="400" w:firstLine="419"/>
        <w:spacing w:after="0" w:line="253" w:lineRule="auto"/>
        <w:tabs>
          <w:tab w:leader="none" w:pos="11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or a Make-Whole Fundamental Change occurs prior to the close of business on the Business Day immediately preceding January 15, 2032 or if the Company is a party to a Specified Transaction that occurs prior to the close of business on the Business Day immediately preceding January 15, 2032 (any such Fundamental Change, Make-Whole Fundamental Change or Specified Transaction,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then, in each case, all or any portion of a Holder’s Notes may be surrendered for conversion at any time from or after the effective date of such Corporate Event until 35 Trading Days after the effective date of such Corporate Event (or, if the Company gives notice after the effective date of such Corporate Event pursuant to the succeeding sentence, until the 35th Trading Day after the Company gives such notice) or, if such Corporate Event also constitutes a Fundamental Change, until the related Fundamental Change Repurchase Date. The Company shall notify Holders, the Trustee and the Conversion Agent (if other than the Trustee) within three Business Days of the occurrence of such Corporate Event. None of the Trustee, Bid Solicitation Agent or Conversion Agent shall have any duty to determine or verify the Company’s determination of whether a Corporate Event has occurred.</w:t>
      </w:r>
    </w:p>
    <w:p>
      <w:pPr>
        <w:spacing w:after="0" w:line="86" w:lineRule="exact"/>
        <w:rPr>
          <w:rFonts w:ascii="Times New Roman" w:cs="Times New Roman" w:eastAsia="Times New Roman" w:hAnsi="Times New Roman"/>
          <w:sz w:val="18"/>
          <w:szCs w:val="18"/>
          <w:color w:val="auto"/>
        </w:rPr>
      </w:pPr>
    </w:p>
    <w:p>
      <w:pPr>
        <w:ind w:left="400" w:right="40" w:firstLine="419"/>
        <w:spacing w:after="0" w:line="274" w:lineRule="auto"/>
        <w:tabs>
          <w:tab w:leader="none" w:pos="112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close of business on the Business Day immediately preceding January 15, 2032, a Holder may surrender all or any portion of its Notes for conversion at any time during any calendar quarter (and only during such calendar quarter) commencing after the calendar quarter ending on September 30, 2026,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None of the Trustee, Bid Solicitation Agent or Conversion Agent shall have any duty to determine or verify the Company’s determination of whether the condition set forth in this clause (iv) has been met.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227" w:lineRule="exact"/>
        <w:rPr>
          <w:sz w:val="20"/>
          <w:szCs w:val="20"/>
          <w:color w:val="auto"/>
        </w:rPr>
      </w:pPr>
    </w:p>
    <w:p>
      <w:pPr>
        <w:ind w:left="-40" w:right="120" w:firstLine="436"/>
        <w:spacing w:after="0" w:line="258" w:lineRule="auto"/>
        <w:tabs>
          <w:tab w:leader="none" w:pos="64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satisfy its Conversion Obligation by paying, and if applicable, delivering to the converting Holder, in respect of each $1,000 principal amount of Notes being converted, a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equal to the sum of the Daily Settlement Amounts for each of the 20 consecutive Trading Days during the relevant Observation Period together with cash, if applicable, in lieu of delivering any fractional share of Common Stock in accordance with subsection (i) of this Section 14.02.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0"/>
          </w:cols>
          <w:pgMar w:left="480" w:top="270" w:right="479" w:bottom="1440" w:gutter="0" w:footer="0" w:header="0"/>
        </w:sectPr>
      </w:pPr>
    </w:p>
    <w:bookmarkStart w:id="181" w:name="page182"/>
    <w:bookmarkEnd w:id="181"/>
    <w:p>
      <w:pPr>
        <w:ind w:right="20" w:firstLine="419"/>
        <w:spacing w:after="0" w:line="256" w:lineRule="auto"/>
        <w:tabs>
          <w:tab w:leader="none" w:pos="6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conversions for which the relevant Conversion Date occurs during the period from, and including, January 15, 2032 to the close of business on the second Scheduled Trading Day immediately preceding the Maturity Date shall be settled using the same Cash Percentage. Except for any conversions for which the relevant Conversion Date occurs during the period from, and including, January 15, 2032 to the close of business on the second Scheduled Trading Day immediately preceding the Maturity Date, the Company shall use the same Cash Percentage for all conversions occurring on the same Conversion Date, but the Company shall not have any obligation to use the same Cash Percentage with respect to conversions that occur on different Conversion Dates.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8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occurring during the period from, and including, January 15, 2032 to the close of business on the second Scheduled Trading Day immediately preceding the Maturity Date), the Company elects to settle all or a portion of its Conversion Obligation in excess of the aggregate principal amount of the Notes being converted in cash in respect of such Conversion Date (or such period, as the case may be), the Company shall inform Holders so converting in writing, with a copy to the Trustee and the Conversion Agent (if other than the Trustee), of such election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no later than the close of business on the Trading Day immediately following the relevant Conversion Date (or, in the case of any conversions occurring from, and including, January 15, 2032 to the close of business on the second Scheduled Trading Day immediately preceding the Maturity Date, no later than the close of business on the Business Day immediately preceding January 15, 2032), and the Company shall indicate in such Settlement Notice the percentage of the Conversion Obligation in excess of the aggregate principal amount of the Notes being converted that shall be paid in cash (the “</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If the relevant Holders are not informed of a Cash Percentage prior to the deadline set forth in the immediately preceding sentence, the Company shall no longer have the right to elect a Cash Percentage with respect to any conversion on such Conversion Date or during such period, as the case may be, and the Company shall be deemed to have elected a Cash Percentage of 0% with respect to such conversion.</w:t>
      </w:r>
    </w:p>
    <w:p>
      <w:pPr>
        <w:spacing w:after="0" w:line="81" w:lineRule="exact"/>
        <w:rPr>
          <w:rFonts w:ascii="Times New Roman" w:cs="Times New Roman" w:eastAsia="Times New Roman" w:hAnsi="Times New Roman"/>
          <w:sz w:val="18"/>
          <w:szCs w:val="18"/>
          <w:color w:val="auto"/>
        </w:rPr>
      </w:pPr>
    </w:p>
    <w:p>
      <w:pPr>
        <w:ind w:firstLine="419"/>
        <w:spacing w:after="0" w:line="255" w:lineRule="auto"/>
        <w:tabs>
          <w:tab w:leader="none" w:pos="7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conversion of Notes, the Daily Settlement Amounts, the Daily Net Settlement Amounts, the Daily Conversion Values and the Settlement Amount shall be determined by the Company promptly following the last day of the relevant Observation Period. Promptly after such determination of the Daily Settlement Amounts, the Daily Net Settlement Amounts, the Daily Conversion Values and the Settlement Amount, as the case may be, and the amount of cash payable in lieu of delivering any fractional share of Common Stock, the Company shall notify the Trustee and the Conversion Agent (if other than the Trustee) of the Daily Settlement Amounts, the Daily Net Settlement Amounts, the Daily Conversion Values and the Settlement Amount, as the case may be, and the amount of cash payable in lieu of delivering fractional shares of Common Stock. The Trustee and the Conversion Agent (if other than the Trustee) shall have no responsibility for any such determination.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60"/>
          </w:cols>
          <w:pgMar w:left="880" w:top="270" w:right="459" w:bottom="1440" w:gutter="0" w:footer="0" w:header="0"/>
        </w:sectPr>
      </w:pPr>
    </w:p>
    <w:bookmarkStart w:id="182" w:name="page183"/>
    <w:bookmarkEnd w:id="182"/>
    <w:p>
      <w:pPr>
        <w:ind w:firstLine="436"/>
        <w:spacing w:after="0" w:line="252" w:lineRule="auto"/>
        <w:tabs>
          <w:tab w:leader="none" w:pos="6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14.02(e), before any Holder of a Note shall be entitled to convert a Note as set forth above, such Holder shall (i) in the case of a Global Note, comply with the procedures of the Depositary in effect at that time and, if required, pay funds equal to any Special Interest payable on the next Special Interest Payment Date as set forth in Section 14.02(g) and, if required by Section 14.02(d) or Section 14.02(e), pay all transfer or similar taxes, if any, and (ii) in the case of a Physical Note (1) complete, manually sign and deliver an irrevocable notice to the Conversion Agent as set forth in the Form of Notice of Conversion (or a facsimile thereof)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any Special Interest payable on the next Special Interest Payment Date as set forth in Section 14.02(g) and (5) if required by Section 14.02(d) or Section 14.02(e), pay all transfer or similar taxes, if any.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unless and until such Holder has validly withdrawn such Fundamental Change Repurchase Notice in accordance with Section 15.03.</w:t>
      </w:r>
    </w:p>
    <w:p>
      <w:pPr>
        <w:spacing w:after="0" w:line="19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72" w:lineRule="exact"/>
        <w:rPr>
          <w:sz w:val="20"/>
          <w:szCs w:val="20"/>
          <w:color w:val="auto"/>
        </w:rPr>
      </w:pPr>
    </w:p>
    <w:p>
      <w:pPr>
        <w:ind w:firstLine="436"/>
        <w:spacing w:after="0" w:line="256"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provided in Section 14.03(b) and Section 14.07(a), the Company shall pay and, if applicable, deliver the consideration due in respect of the Conversion Obligation on the second Business Day immediately following the last Trading Day of the relevant Observation Period.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86"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183" w:name="page184"/>
    <w:bookmarkEnd w:id="183"/>
    <w:p>
      <w:pPr>
        <w:ind w:right="20" w:firstLine="436"/>
        <w:spacing w:after="0" w:line="258" w:lineRule="auto"/>
        <w:tabs>
          <w:tab w:leader="none" w:pos="6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Holder submits a Note for conversion, the Company shall pay any documentary, stamp or similar issue or transfer tax due on the issuance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Special Interest, if any, except as set forth below. The Company’s settlement of the full Conversion Obligation shall be deemed to satisfy in full its obligation to pay the principal amount of the Note and accrued and unpaid Special Interest, if any, to, but not including, the relevant Conversion Date. As a result, accrued and unpaid Special Interest, if any, to, but not including, the relevant Conversion Date shall be deemed to be paid in full rather than canceled, extinguished or forfeited. Upon a conversion of Notes, any accrued and unpaid Special Interest will be deemed to be paid first out of the cash paid upon such conversion. Notwithstanding the foregoing, if Notes are converted after the close of business on a Special Interest Record Date for the payment of Special Interest, Holders of such Notes as of the close of business on such Special Interest Record Date will receive the full amount of any Special Interest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any Special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May 1, 2032, if and to the extent any Special Interest is payable on the Maturity Date; (2) if the Company has specified a Fundamental Change Repurchase Date that is after a Special Interest Record Date and on or prior to the Business Day immediately succeeding the date on which the corresponding Special Interest payment is made; or (3) to the extent of any interest constituting Defaulted Amounts, if any Defaulted Amounts exist at the time of conversion with respect to such Note. Therefore, for the avoidance of doubt, all Holders of record as of the close of business on May 1, 2032 (if and to the extent Special Interest is payable on the Maturity Date) and the Special Interest Record Date immediately preceding any Fundamental Change Repurchase Date as described in clause (2) of the immediately preceding sentence shall receive the full Special Interest payment, if any, due on the Maturity Date or other applicable Special Interest Payment Date regardless of whether their Notes have been converted following such Special Interest Record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84" w:name="page185"/>
    <w:bookmarkEnd w:id="184"/>
    <w:p>
      <w:pPr>
        <w:ind w:right="200" w:firstLine="436"/>
        <w:spacing w:after="0" w:line="266"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in whose name the certificate for any shares of Common Stock delivered upon conversion is registered shall be treated as a stockholder of record as of the close of business on the last Trading Day of the relevant Observation Period. Upon a conversion of Notes, such Person shall no longer be a Holder of such Notes surrendered for conversion.</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of Common Stock (if any) that shall be issued upon conversion thereof shall be computed on the basis of the aggregate Daily Settlement Amounts for the relevant Observation Period and any fractional shares remaining after such computation shall be paid in cash.</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w:t>
      </w:r>
      <w:r>
        <w:rPr>
          <w:rFonts w:ascii="Times New Roman" w:cs="Times New Roman" w:eastAsia="Times New Roman" w:hAnsi="Times New Roman"/>
          <w:sz w:val="18"/>
          <w:szCs w:val="18"/>
          <w:color w:val="auto"/>
        </w:rPr>
        <w:t xml:space="preserve"> (a) If the Effective Date of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as described below. A conversion of Notes shall be deemed for these purposes to be “in connection with” a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subclause (i) of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36"/>
        <w:spacing w:after="0" w:line="253"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the Company shall satisfy its Conversion Obligation in respect of such converted Notes in accordance with Section 14.02 based on the Conversion Rate as increased to reflect the Additional Shares pursuant to the table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second Business Day following the Conversion Date. The Company shall notify the Holders of Notes in writing with a copy to the Trustee and the Conversion Agent (if other than the Trustee) of the Effective Date of any Make-Whole Fundamental Change no later than five Business Days after such Effective Date.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185" w:name="page186"/>
    <w:bookmarkEnd w:id="185"/>
    <w:p>
      <w:pPr>
        <w:ind w:right="60" w:firstLine="436"/>
        <w:spacing w:after="0" w:line="255"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Additional Shares, if any, by which the Conversion Rate shall be increased shall be determined by reference to the table below, based on the date on which the Make-Whole Fundamental Change occurs or becomes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Common Stock in the Make-Whole Fundamental Change.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w:t>
      </w:r>
    </w:p>
    <w:p>
      <w:pPr>
        <w:spacing w:after="0" w:line="188"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080" w:type="dxa"/>
            <w:vAlign w:val="bottom"/>
            <w:vMerge w:val="restart"/>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141.34</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165.00</w:t>
            </w:r>
          </w:p>
        </w:tc>
        <w:tc>
          <w:tcPr>
            <w:tcW w:w="18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190.81</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300.00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375.00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500.00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22, 2026</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1.8343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1.6455</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1.3759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1.1620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1.0342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0.5796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0.3748</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0.2050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0.0786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1.6455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1.3759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1.1620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1.0342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0.5678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0.3587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0.1894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0.0679</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1.6455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1.3759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1.1620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1.0342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0.5420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0.3311</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0.1658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0.0534</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1.6455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1.3759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1.1459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0.9963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0.4902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0.2834</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0.1298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0.0346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1.6455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1.3388</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1.0662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0.9088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0.3989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0.2082</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0.0806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0.0141</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2031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1.5891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1.1867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0.8882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0.7220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0.2400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0.0980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0.0247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1.8343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1.4258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0.8199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0.3147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exact Stock Prices and Effective Dates may not be set forth in the table above, in which case:</w:t>
      </w:r>
    </w:p>
    <w:p>
      <w:pPr>
        <w:spacing w:after="0" w:line="117" w:lineRule="exact"/>
        <w:rPr>
          <w:sz w:val="20"/>
          <w:szCs w:val="20"/>
          <w:color w:val="auto"/>
        </w:rPr>
      </w:pPr>
    </w:p>
    <w:p>
      <w:pPr>
        <w:jc w:val="both"/>
        <w:ind w:left="440" w:right="100" w:firstLine="419"/>
        <w:spacing w:after="0" w:line="261" w:lineRule="auto"/>
        <w:tabs>
          <w:tab w:leader="none" w:pos="10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above,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or 366-day year,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186" w:name="page187"/>
    <w:bookmarkEnd w:id="186"/>
    <w:p>
      <w:pPr>
        <w:ind w:left="440" w:right="60" w:firstLine="419"/>
        <w:spacing w:after="0" w:line="282" w:lineRule="auto"/>
        <w:tabs>
          <w:tab w:leader="none" w:pos="11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Stock Price is greater than $950.00 per share (subject to adjustment in the same manner as the Stock Prices set forth in the column headings of the table above pursuant to subsection (d) above), no Additional Shares shall be added to the Conversion Rate;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$141.34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7.0751 shares of Common Stock, subject to adjustment in the same manner as the Conversion Rate pursuant to Section 14.04 (the “</w:t>
      </w:r>
      <w:r>
        <w:rPr>
          <w:rFonts w:ascii="Times New Roman" w:cs="Times New Roman" w:eastAsia="Times New Roman" w:hAnsi="Times New Roman"/>
          <w:sz w:val="18"/>
          <w:szCs w:val="18"/>
          <w:b w:val="1"/>
          <w:bCs w:val="1"/>
          <w:color w:val="auto"/>
        </w:rPr>
        <w:t>Maximum Conversion Rate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40" w:firstLine="436"/>
        <w:spacing w:after="0" w:line="282" w:lineRule="auto"/>
        <w:tabs>
          <w:tab w:leader="none" w:pos="66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 14.04 in respect of a Make-Whole Fundamental Change.</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160" w:firstLine="436"/>
        <w:spacing w:after="0" w:line="312" w:lineRule="auto"/>
        <w:tabs>
          <w:tab w:leader="none" w:pos="68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exclusively issues shares of Common Stock as a dividend or distribution on shares of the Common Stock, or if the Company effects a share split or share combination in respect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117475</wp:posOffset>
            </wp:positionV>
            <wp:extent cx="1062990" cy="436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629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45" w:lineRule="exact"/>
        <w:rPr>
          <w:sz w:val="20"/>
          <w:szCs w:val="20"/>
          <w:color w:val="auto"/>
        </w:rPr>
      </w:pPr>
    </w:p>
    <w:p>
      <w:pPr>
        <w:ind w:left="660" w:right="780" w:hanging="660"/>
        <w:spacing w:after="0" w:line="300"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 or Effective Date, as applicable;</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 or Effective Date</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(before giving effect to any such dividend, distribution, share split or share combination); and</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spacing w:after="0" w:line="255"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or any share split or combination of the type described in this Section 14.04(a) is announced but the outstanding shares of Common Stock are not split or combined, as the case may be, the Conversion Rate shall be immediately readjusted, effective as of the date the Board of Directors determines not to pay such dividend or distribution, or not to split or combine the outstanding shares of Common Stock, as the case may be, to the Conversion Rate that would then be in effect if such dividend or distribution had not been declared or such share split or combination had not been announced.</w:t>
      </w:r>
    </w:p>
    <w:p>
      <w:pPr>
        <w:spacing w:after="0" w:line="189" w:lineRule="exact"/>
        <w:rPr>
          <w:sz w:val="20"/>
          <w:szCs w:val="20"/>
          <w:color w:val="auto"/>
        </w:rPr>
      </w:pPr>
    </w:p>
    <w:p>
      <w:pPr>
        <w:ind w:firstLine="436"/>
        <w:spacing w:after="0" w:line="258"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145415</wp:posOffset>
            </wp:positionV>
            <wp:extent cx="1337310" cy="411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37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8860" w:type="dxa"/>
            <w:vAlign w:val="bottom"/>
          </w:tcPr>
          <w:p>
            <w:pPr>
              <w:spacing w:after="0"/>
              <w:rPr>
                <w:sz w:val="20"/>
                <w:szCs w:val="20"/>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issuance;</w:t>
            </w: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5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r>
      <w:tr>
        <w:trPr>
          <w:trHeight w:val="334"/>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6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0920"/>
          </w:cols>
          <w:pgMar w:left="440" w:top="270" w:right="539" w:bottom="1440" w:gutter="0" w:footer="0" w:header="0"/>
        </w:sectPr>
      </w:pPr>
    </w:p>
    <w:bookmarkStart w:id="188" w:name="page189"/>
    <w:bookmarkEnd w:id="18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 the total number of shares of Common Stock issuable pursuant to such rights, options or warrants; and</w:t>
      </w:r>
    </w:p>
    <w:p>
      <w:pPr>
        <w:spacing w:after="0" w:line="223" w:lineRule="exact"/>
        <w:rPr>
          <w:sz w:val="20"/>
          <w:szCs w:val="20"/>
          <w:color w:val="auto"/>
        </w:rPr>
      </w:pPr>
    </w:p>
    <w:p>
      <w:pPr>
        <w:ind w:left="444" w:hanging="444"/>
        <w:spacing w:after="0" w:line="267" w:lineRule="auto"/>
        <w:tabs>
          <w:tab w:leader="none" w:pos="2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7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Section 14.01(b)(ii)(A), in determining whether any rights, options or warrants entitle the holders of the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7" w:lineRule="exact"/>
        <w:rPr>
          <w:sz w:val="20"/>
          <w:szCs w:val="20"/>
          <w:color w:val="auto"/>
        </w:rPr>
      </w:pPr>
    </w:p>
    <w:p>
      <w:pPr>
        <w:ind w:left="4" w:right="20" w:firstLine="436"/>
        <w:spacing w:after="0" w:line="261" w:lineRule="auto"/>
        <w:tabs>
          <w:tab w:leader="none" w:pos="68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w:t>
      </w:r>
    </w:p>
    <w:p>
      <w:pPr>
        <w:ind w:left="4" w:right="20" w:hanging="4"/>
        <w:spacing w:after="0" w:line="252" w:lineRule="auto"/>
        <w:tabs>
          <w:tab w:leader="none" w:pos="21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issuances as to which an adjustment was effected (or would have been effected but for Section 14.04(j)) pursuant to Section 14.04(a) or Section 14.04(b), (ii) dividends or distributions paid exclusively in cash as to which the provisions set forth in Section 14.04(d) shall apply, (iii) except as otherwise described in Section 14.11, rights issued pursuant to a stockholder rights plan of the Company, (iv) distributions of Reference Property in a transaction described in Section 14.07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149225</wp:posOffset>
            </wp:positionV>
            <wp:extent cx="1405890" cy="403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058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70"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ectPr>
          <w:pgSz w:w="11900" w:h="16838" w:orient="portrait"/>
          <w:cols w:equalWidth="0" w:num="1">
            <w:col w:w="11000"/>
          </w:cols>
          <w:pgMar w:left="440" w:top="270" w:right="45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ind w:right="6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Stock over the 10 consecutive Trading Day period ending on, and including, the Trading Day immediately preceding the Ex-Dividend Date for such distribution; and</w:t>
      </w:r>
    </w:p>
    <w:p>
      <w:pPr>
        <w:spacing w:after="0" w:line="54" w:lineRule="exact"/>
        <w:rPr>
          <w:sz w:val="20"/>
          <w:szCs w:val="20"/>
          <w:color w:val="auto"/>
        </w:rPr>
      </w:pPr>
    </w:p>
    <w:p>
      <w:pPr>
        <w:sectPr>
          <w:pgSz w:w="11900" w:h="16838" w:orient="portrait"/>
          <w:cols w:equalWidth="0" w:num="2">
            <w:col w:w="260" w:space="520"/>
            <w:col w:w="102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FMV</w:t>
      </w:r>
    </w:p>
    <w:p>
      <w:pPr>
        <w:spacing w:after="0" w:line="20" w:lineRule="exact"/>
        <w:rPr>
          <w:sz w:val="20"/>
          <w:szCs w:val="20"/>
          <w:color w:val="auto"/>
        </w:rPr>
      </w:pPr>
      <w:r>
        <w:rPr>
          <w:sz w:val="20"/>
          <w:szCs w:val="20"/>
          <w:color w:val="auto"/>
        </w:rPr>
        <w:br w:type="column"/>
      </w:r>
    </w:p>
    <w:p>
      <w:pPr>
        <w:ind w:right="44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fair market value (as determined by the Board of Directors) of the Distributed Property with respect to each outstanding share of the Common Stock on the Ex-Dividend Date for such distribution.</w:t>
      </w:r>
    </w:p>
    <w:p>
      <w:pPr>
        <w:spacing w:after="0" w:line="162" w:lineRule="exact"/>
        <w:rPr>
          <w:sz w:val="20"/>
          <w:szCs w:val="20"/>
          <w:color w:val="auto"/>
        </w:rPr>
      </w:pPr>
    </w:p>
    <w:p>
      <w:pPr>
        <w:sectPr>
          <w:pgSz w:w="11900" w:h="16838" w:orient="portrait"/>
          <w:cols w:equalWidth="0" w:num="2">
            <w:col w:w="380" w:space="400"/>
            <w:col w:w="10220"/>
          </w:cols>
          <w:pgMar w:left="440" w:top="270" w:right="459" w:bottom="1440" w:gutter="0" w:footer="0" w:header="0"/>
          <w:type w:val="continuous"/>
        </w:sectPr>
      </w:pPr>
    </w:p>
    <w:p>
      <w:pPr>
        <w:ind w:right="80"/>
        <w:spacing w:after="0" w:line="238"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Common Stock receive the Distributed Property and without having to convert its Note(s), the amount and kind of Distributed Property such Holder would have received if such Holder owned a number of shares of Common Stock equal to the Conversion Rate in effect on the Ex-Dividend Date for the distribution.</w:t>
      </w:r>
    </w:p>
    <w:p>
      <w:pPr>
        <w:spacing w:after="0" w:line="20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142875</wp:posOffset>
            </wp:positionV>
            <wp:extent cx="1491615" cy="394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916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end of the Valuation Period;</w:t>
      </w:r>
    </w:p>
    <w:p>
      <w:pPr>
        <w:spacing w:after="0" w:line="117" w:lineRule="exact"/>
        <w:rPr>
          <w:sz w:val="20"/>
          <w:szCs w:val="20"/>
          <w:color w:val="auto"/>
        </w:rPr>
      </w:pPr>
    </w:p>
    <w:p>
      <w:pPr>
        <w:sectPr>
          <w:pgSz w:w="11900" w:h="16838" w:orient="portrait"/>
          <w:cols w:equalWidth="0" w:num="2">
            <w:col w:w="300" w:space="140"/>
            <w:col w:w="105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Conversion Rate in effect immediately after the end of the Valuation Period;</w:t>
      </w:r>
    </w:p>
    <w:p>
      <w:pPr>
        <w:spacing w:after="0" w:line="158" w:lineRule="exact"/>
        <w:rPr>
          <w:sz w:val="20"/>
          <w:szCs w:val="20"/>
          <w:color w:val="auto"/>
        </w:rPr>
      </w:pPr>
    </w:p>
    <w:p>
      <w:pPr>
        <w:sectPr>
          <w:pgSz w:w="11900" w:h="16838" w:orient="portrait"/>
          <w:cols w:equalWidth="0" w:num="2">
            <w:col w:w="300" w:space="140"/>
            <w:col w:w="1056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40" w:hanging="199"/>
        <w:spacing w:after="0" w:line="261"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-654050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60" w:space="420"/>
            <w:col w:w="1010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average of the Last Reported Sale Prices of the Common Stock over the Valuation Period.</w:t>
      </w:r>
    </w:p>
    <w:p>
      <w:pPr>
        <w:spacing w:after="0" w:line="200" w:lineRule="exact"/>
        <w:rPr>
          <w:sz w:val="20"/>
          <w:szCs w:val="20"/>
          <w:color w:val="auto"/>
        </w:rPr>
      </w:pPr>
    </w:p>
    <w:p>
      <w:pPr>
        <w:sectPr>
          <w:pgSz w:w="11900" w:h="16838" w:orient="portrait"/>
          <w:cols w:equalWidth="0" w:num="2">
            <w:col w:w="320" w:space="360"/>
            <w:col w:w="10300"/>
          </w:cols>
          <w:pgMar w:left="440" w:top="270" w:right="479" w:bottom="1440" w:gutter="0" w:footer="0" w:header="0"/>
          <w:type w:val="continuous"/>
        </w:sectPr>
      </w:pPr>
    </w:p>
    <w:p>
      <w:pPr>
        <w:spacing w:after="0" w:line="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any conversion of Notes, for any Trading Day that falls within the relevant Observation Period for such conversion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Valuation Period, the reference to “10” in this Section 14.04(c) related to Spin-Offs shall be deemed replaced with such lesser number of Trading Days as have elapsed from, and including, the Ex-Dividend Date for such Spin-Off to, and including, such Trading Day in the relevant Observation Period for purposes of determining the Conversion Rate as of such Trading Day.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type w:val="continuous"/>
        </w:sectPr>
      </w:pPr>
    </w:p>
    <w:bookmarkStart w:id="191" w:name="page192"/>
    <w:bookmarkEnd w:id="19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9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740" w:hanging="304"/>
        <w:spacing w:after="0"/>
        <w:tabs>
          <w:tab w:leader="none" w:pos="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8" w:lineRule="exact"/>
        <w:rPr>
          <w:sz w:val="20"/>
          <w:szCs w:val="20"/>
          <w:color w:val="auto"/>
        </w:rPr>
      </w:pPr>
    </w:p>
    <w:p>
      <w:pPr>
        <w:ind w:right="48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131445</wp:posOffset>
            </wp:positionV>
            <wp:extent cx="1320165" cy="43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2016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92" w:name="page193"/>
    <w:bookmarkEnd w:id="192"/>
    <w:tbl>
      <w:tblPr>
        <w:tblLayout w:type="fixed"/>
        <w:tblInd w:w="4" w:type="dxa"/>
        <w:tblCellMar>
          <w:top w:w="0" w:type="dxa"/>
          <w:left w:w="0" w:type="dxa"/>
          <w:bottom w:w="0" w:type="dxa"/>
          <w:right w:w="0" w:type="dxa"/>
        </w:tblCellMar>
      </w:tblPr>
      <w:tr>
        <w:trPr>
          <w:trHeight w:val="35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Last Reported Sale Price of the Common Stock on the Trading Day immediately preceding the Ex-Dividend Date for such dividend</w:t>
            </w:r>
          </w:p>
        </w:tc>
      </w:tr>
      <w:tr>
        <w:trPr>
          <w:trHeight w:val="234"/>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distribution; and</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84" w:hanging="684"/>
        <w:spacing w:after="0"/>
        <w:tabs>
          <w:tab w:leader="none" w:pos="6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cash per share the Company distributes to all or substantially all holders of the Common Stock.</w:t>
      </w:r>
    </w:p>
    <w:p>
      <w:pPr>
        <w:spacing w:after="0" w:line="225" w:lineRule="exact"/>
        <w:rPr>
          <w:sz w:val="20"/>
          <w:szCs w:val="20"/>
          <w:color w:val="auto"/>
        </w:rPr>
      </w:pPr>
    </w:p>
    <w:p>
      <w:pPr>
        <w:ind w:left="4" w:right="20"/>
        <w:spacing w:after="0" w:line="238"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at the same time and upon the same terms as holders of shares of the Common Stock and without having to convert its Note(s), the amount of cash that such Holder would have received if such Holder owned a number of shares of Common Stock equal to the Conversion Rate on the Ex-Dividend Date for such cash dividend or distribution.</w:t>
      </w:r>
    </w:p>
    <w:p>
      <w:pPr>
        <w:spacing w:after="0" w:line="200" w:lineRule="exact"/>
        <w:rPr>
          <w:sz w:val="20"/>
          <w:szCs w:val="20"/>
          <w:color w:val="auto"/>
        </w:rPr>
      </w:pPr>
    </w:p>
    <w:p>
      <w:pPr>
        <w:ind w:left="4" w:firstLine="987"/>
        <w:spacing w:after="0" w:line="258"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that is subject to the then-applicable tender offer rules under the Exchange Act, other than an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immediately following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145415</wp:posOffset>
            </wp:positionV>
            <wp:extent cx="1680210" cy="436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802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4"/>
          </w:cols>
          <w:pgMar w:left="436" w:top="162" w:right="459" w:bottom="1440" w:gutter="0" w:footer="0" w:header="0"/>
        </w:sectPr>
      </w:pPr>
    </w:p>
    <w:p>
      <w:pPr>
        <w:spacing w:after="0" w:line="3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3"/>
          <w:szCs w:val="13"/>
          <w:color w:val="auto"/>
        </w:rPr>
        <w:t>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 Trading Day immediately following the date such tender or exchange offer expires;</w:t>
      </w:r>
    </w:p>
    <w:p>
      <w:pPr>
        <w:spacing w:after="0" w:line="94" w:lineRule="exact"/>
        <w:rPr>
          <w:sz w:val="20"/>
          <w:szCs w:val="20"/>
          <w:color w:val="auto"/>
        </w:rPr>
      </w:pPr>
    </w:p>
    <w:p>
      <w:pPr>
        <w:sectPr>
          <w:pgSz w:w="11900" w:h="16838" w:orient="portrait"/>
          <w:cols w:equalWidth="0" w:num="3">
            <w:col w:w="344" w:space="340"/>
            <w:col w:w="100" w:space="320"/>
            <w:col w:w="9900"/>
          </w:cols>
          <w:pgMar w:left="436" w:top="162"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162" w:right="45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ind w:right="50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 Trading Day immediately following the date such tender or exchange offer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-459740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00" w:space="360"/>
            <w:col w:w="1034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AC</w:t>
      </w:r>
    </w:p>
    <w:p>
      <w:pPr>
        <w:spacing w:after="0" w:line="20" w:lineRule="exact"/>
        <w:rPr>
          <w:sz w:val="20"/>
          <w:szCs w:val="20"/>
          <w:color w:val="auto"/>
        </w:rPr>
      </w:pPr>
      <w:r>
        <w:rPr>
          <w:sz w:val="20"/>
          <w:szCs w:val="20"/>
          <w:color w:val="auto"/>
        </w:rPr>
        <w:br w:type="column"/>
      </w:r>
    </w:p>
    <w:p>
      <w:pPr>
        <w:ind w:right="26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aggregate value of all cash and any other consideration (as determined by the Board of Directors) paid or payable for shares of Common Stock purchased in such tender or exchange offer;</w:t>
      </w:r>
    </w:p>
    <w:p>
      <w:pPr>
        <w:spacing w:after="0" w:line="54" w:lineRule="exact"/>
        <w:rPr>
          <w:sz w:val="20"/>
          <w:szCs w:val="20"/>
          <w:color w:val="auto"/>
        </w:rPr>
      </w:pPr>
    </w:p>
    <w:p>
      <w:pPr>
        <w:sectPr>
          <w:pgSz w:w="11900" w:h="16838" w:orient="portrait"/>
          <w:cols w:equalWidth="0" w:num="2">
            <w:col w:w="240" w:space="420"/>
            <w:col w:w="103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12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54" w:lineRule="exact"/>
        <w:rPr>
          <w:sz w:val="20"/>
          <w:szCs w:val="20"/>
          <w:color w:val="auto"/>
        </w:rPr>
      </w:pPr>
    </w:p>
    <w:p>
      <w:pPr>
        <w:sectPr>
          <w:pgSz w:w="11900" w:h="16838" w:orient="portrait"/>
          <w:cols w:equalWidth="0" w:num="2">
            <w:col w:w="300" w:space="360"/>
            <w:col w:w="103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ind w:right="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54" w:lineRule="exact"/>
        <w:rPr>
          <w:sz w:val="20"/>
          <w:szCs w:val="20"/>
          <w:color w:val="auto"/>
        </w:rPr>
      </w:pPr>
    </w:p>
    <w:p>
      <w:pPr>
        <w:sectPr>
          <w:pgSz w:w="11900" w:h="16838" w:orient="portrait"/>
          <w:cols w:equalWidth="0" w:num="2">
            <w:col w:w="280" w:space="380"/>
            <w:col w:w="103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p>
    <w:p>
      <w:pPr>
        <w:spacing w:after="0" w:line="20" w:lineRule="exact"/>
        <w:rPr>
          <w:sz w:val="20"/>
          <w:szCs w:val="20"/>
          <w:color w:val="auto"/>
        </w:rPr>
      </w:pPr>
      <w:r>
        <w:rPr>
          <w:sz w:val="20"/>
          <w:szCs w:val="20"/>
          <w:color w:val="auto"/>
        </w:rPr>
        <w:br w:type="column"/>
      </w:r>
    </w:p>
    <w:p>
      <w:pPr>
        <w:ind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Stock over the 10 consecutive Trading Day period commencing on, and including, the Trading Day immediately following the date such tender or exchange offer expires.</w:t>
      </w:r>
    </w:p>
    <w:p>
      <w:pPr>
        <w:spacing w:after="0" w:line="162" w:lineRule="exact"/>
        <w:rPr>
          <w:sz w:val="20"/>
          <w:szCs w:val="20"/>
          <w:color w:val="auto"/>
        </w:rPr>
      </w:pPr>
    </w:p>
    <w:p>
      <w:pPr>
        <w:sectPr>
          <w:pgSz w:w="11900" w:h="16838" w:orient="portrait"/>
          <w:cols w:equalWidth="0" w:num="2">
            <w:col w:w="260" w:space="400"/>
            <w:col w:w="10340"/>
          </w:cols>
          <w:pgMar w:left="440" w:top="378" w:right="459" w:bottom="1440" w:gutter="0" w:footer="0" w:header="0"/>
          <w:type w:val="continuous"/>
        </w:sect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immediately following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any conversion of Notes, for any Trading Day that falls within the relevant Observation Period for such conversion and within the 10 Trading Days immediately following, and including, the Trading Day immediately following the expiration date of any tender or exchange offer, references “10” or “10th” in this Section 14.04(e) shall be deemed replaced with such lesser number of Trading Days as have elapsed from, and including, the Trading Day next succeeding the date such tender or exchange offer expires to, and including, such Trading Day in the relevant Observation Period for purposes of determining the Conversion Rate as of such Trading Day. If the Company is obligated to purchase the Common Stock pursuant to any such tender or exchange offer described in this Section 14.04(e) but the Company is permanently prevented by applicable law from effecting any such purchase or all such purchases are rescinded, then the Conversion Rate shall be decreased to be the Conversion Rate that would then be in effect if such tender or exchange offer had not been made or had been made only in respect of the purchases that have been effected.</w:t>
      </w:r>
    </w:p>
    <w:p>
      <w:pPr>
        <w:spacing w:after="0" w:line="192" w:lineRule="exact"/>
        <w:rPr>
          <w:sz w:val="20"/>
          <w:szCs w:val="20"/>
          <w:color w:val="auto"/>
        </w:rPr>
      </w:pPr>
    </w:p>
    <w:p>
      <w:pPr>
        <w:ind w:left="660" w:hanging="224"/>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378" w:right="459" w:bottom="1440" w:gutter="0" w:footer="0" w:header="0"/>
          <w:type w:val="continuous"/>
        </w:sectPr>
      </w:pPr>
    </w:p>
    <w:bookmarkStart w:id="194" w:name="page195"/>
    <w:bookmarkEnd w:id="194"/>
    <w:p>
      <w:pPr>
        <w:ind w:firstLine="436"/>
        <w:spacing w:after="0" w:line="271" w:lineRule="auto"/>
        <w:tabs>
          <w:tab w:leader="none" w:pos="69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mail to the Holder of each Note at its last address appearing on the Note Register a notice of the increase at least 15 days prior to the date the increased Conversion Rate takes effect, and such notice shall state the increased Conversion Rate and the period during which it will be in effect.</w:t>
      </w:r>
    </w:p>
    <w:p>
      <w:pPr>
        <w:spacing w:after="0" w:line="173"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312" w:lineRule="auto"/>
        <w:tabs>
          <w:tab w:leader="none" w:pos="107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shares of Common Stock pursuant to any present or future plan providing for the reinvestment of dividends or any interest payable on the Company’s securities and the investment of additional optional amounts in shares of Common Stock under any plan;</w:t>
      </w:r>
    </w:p>
    <w:p>
      <w:pPr>
        <w:spacing w:after="0" w:line="31" w:lineRule="exact"/>
        <w:rPr>
          <w:rFonts w:ascii="Times New Roman" w:cs="Times New Roman" w:eastAsia="Times New Roman" w:hAnsi="Times New Roman"/>
          <w:sz w:val="17"/>
          <w:szCs w:val="17"/>
          <w:color w:val="auto"/>
        </w:rPr>
      </w:pPr>
    </w:p>
    <w:p>
      <w:pPr>
        <w:ind w:left="440" w:right="640" w:firstLine="419"/>
        <w:spacing w:after="0" w:line="282" w:lineRule="auto"/>
        <w:tabs>
          <w:tab w:leader="none" w:pos="112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 (other than any rights plan as described in Section 14.11);</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shares of Common Stock pursuant to an open-market share repurchase program or other buy-back transaction that is not a tender offer or exchange offer of the nature described in Section 14.04(e);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Stock;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rFonts w:ascii="Times New Roman" w:cs="Times New Roman" w:eastAsia="Times New Roman" w:hAnsi="Times New Roman"/>
          <w:sz w:val="18"/>
          <w:szCs w:val="18"/>
          <w:color w:val="auto"/>
        </w:rPr>
      </w:pPr>
    </w:p>
    <w:p>
      <w:pPr>
        <w:ind w:right="740" w:firstLine="436"/>
        <w:spacing w:after="0" w:line="312" w:lineRule="auto"/>
        <w:tabs>
          <w:tab w:leader="none" w:pos="65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required to make an adjustment pursuant to clauses (a), (b), (c), (d) or (e) of this Section 14.04 unless such adjustment would result in a change of at least 1% of the then effective Conversion Rate. However, the Company shall carry forward 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95" w:name="page196"/>
    <w:bookmarkEnd w:id="19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that the Company would otherwise have to make and take that adjustment into account in any subsequent adjustment. Notwithstanding the foregoing, all such carried-forward adjustments shall be made (i) in connection with any subsequent adjustment to the Conversion Rate of at least 1% of the Conversion Rate (when such carried-forward adjustments are taken into account) and (ii) on the Conversion Date for (in the case of any conversion following the replacement of the Common Stock by Reference Property consisting solely of cash), or each Trading Day of any Observation Period for, any Note. All calculations and other determinations under this Article 14 shall be made by the Company and shall be made to the nearest one-ten thousandth (1/10,000) of a share.</w:t>
      </w:r>
    </w:p>
    <w:p>
      <w:pPr>
        <w:spacing w:after="0" w:line="187" w:lineRule="exact"/>
        <w:rPr>
          <w:sz w:val="20"/>
          <w:szCs w:val="20"/>
          <w:color w:val="auto"/>
        </w:rPr>
      </w:pPr>
    </w:p>
    <w:p>
      <w:pPr>
        <w:ind w:right="60" w:firstLine="436"/>
        <w:spacing w:after="0" w:line="254" w:lineRule="auto"/>
        <w:tabs>
          <w:tab w:leader="none" w:pos="69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each Holder at its last address appearing on the Note Register of this Indenture. Failure to deliver such notice shall not affect the legality or validity of any such adjustment.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if any, for determining the Stock Price for purposes of a Make-Whole Fundamental Change), the Company shall make appropriate adjustments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the Daily Net Settlement Amounts or the Daily Settlement Amounts are to be calculated.</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delivery upon conversion of the Notes of a number of shares of Common Stock per $1,000 principal amount of Notes equal to the Maximum Conversion Rate).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96" w:name="page197"/>
    <w:bookmarkEnd w:id="1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p>
      <w:pPr>
        <w:spacing w:after="0" w:line="227" w:lineRule="exact"/>
        <w:rPr>
          <w:sz w:val="20"/>
          <w:szCs w:val="20"/>
          <w:color w:val="auto"/>
        </w:rPr>
      </w:pPr>
    </w:p>
    <w:p>
      <w:pPr>
        <w:ind w:left="680" w:hanging="244"/>
        <w:spacing w:after="0"/>
        <w:tabs>
          <w:tab w:leader="none" w:pos="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 combination),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or combination involving the Company,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7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then, at and after the effective time of such Specified Transaction,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Specified Transaction would have owned or been entitled to receive upon such Specified Transaction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Common Stock is entitled to receive) and, prior to or at the effective time of such Specified Transaction, the Company or the successor or purchasing Person, as the case may be, shall execute with the Trustee a supplemental indenture permitted under Section 10.01(k)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such Specified Transaction (A) the amount otherwise payable in cash upon conversion of the Notes in accordance with Section 14.02 shall continue to be payable in cash; (B) the Company or the successor or purchasing Person, as the case may be, shall continue to have the right to elect to determine the form of consideration to be paid or delivered, as the case may be, in respect of the remainder, if any, of the Conversion Obligation in excess of the aggregate principal amount of the Notes being converted in accordance with Section 14.02; (C) the number of shares of Common Stock, if any, otherwise deliverable upon conversion of the Notes in accordance with Section 14.02 shall instead be deliverable in the amount and type of Reference Property that a holder of that number of shares of Common Stock would have received in such Specified Transaction and (D) the Daily VWAP shall be calculated based on the value of a unit of Reference Property.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68" w:right="499" w:bottom="1440" w:gutter="0" w:footer="0" w:header="0"/>
        </w:sectPr>
      </w:pPr>
    </w:p>
    <w:bookmarkStart w:id="197" w:name="page198"/>
    <w:bookmarkEnd w:id="19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Specified Transaction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of such weighted average as soon as practicable after such determination is made. If the holders of Common Stock receive only cash in such Specified Transaction, then for all conversions that occur after the effective date of such Specified Transaction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Specified Transaction and (B) the Company shall satisfy the Conversion Obligation by paying cash to converting Holders on the second Business Day immediately following the relevant Conversion Date.</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Such supplemental indenture described in the second immediately preceding paragraph shall provide for anti-dilution and other adjustments that shall be as nearly equivalent as is possible to the adjustments provided for in this Article 14. If, in the case of any Specified Transaction, the Reference Property includes shares of stock, securities or other property or assets (including cash or any combination thereof) of a Person other than the Company or the successor or purchasing corporation, as the case may be, in such Specified Transaction, then such supplemental indenture shall also be executed by such other Person and shall contain such additional provisions to protect the interests of the Holders of the Notes as the Board of Directors shall reasonably consider necessary by reason of the foregoing, including the provisions providing for the purchase rights set forth in Article 15.</w:t>
      </w:r>
    </w:p>
    <w:p>
      <w:pPr>
        <w:spacing w:after="0" w:line="187" w:lineRule="exact"/>
        <w:rPr>
          <w:sz w:val="20"/>
          <w:szCs w:val="20"/>
          <w:color w:val="auto"/>
        </w:rPr>
      </w:pPr>
    </w:p>
    <w:p>
      <w:pPr>
        <w:ind w:right="80" w:firstLine="436"/>
        <w:spacing w:after="0" w:line="255"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Specified Transaction, any adjustment to be made with respect thereto and that all conditions precedent have been complied with and an Opinion of Counsel stating that all conditions precedent have been complied with, and shall promptly mail notice thereof to all Holders. The Company shall cause notice of the execution of such supplemental indenture to be mailed to each Holder, at its address appearing on the Note Register provided for in this Indenture, within 20 days after execution thereof. Failure to deliver such notice shall not affect the legality or validity of such supplemental indenture.</w:t>
      </w:r>
    </w:p>
    <w:p>
      <w:pPr>
        <w:spacing w:after="0" w:line="188" w:lineRule="exact"/>
        <w:rPr>
          <w:rFonts w:ascii="Times New Roman" w:cs="Times New Roman" w:eastAsia="Times New Roman" w:hAnsi="Times New Roman"/>
          <w:sz w:val="18"/>
          <w:szCs w:val="18"/>
          <w:color w:val="auto"/>
        </w:rPr>
      </w:pPr>
    </w:p>
    <w:p>
      <w:pPr>
        <w:ind w:right="220" w:firstLine="436"/>
        <w:spacing w:after="0" w:line="266"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Specified Transaction unless its terms are consistent with this Section 14.07. None of the foregoing provisions shall affect the right of a Holder to convert its Notes into cash and shares of Common Stock, if any, as set forth in Section 14.01 and Section 14.02 prior to the effective date of such Specified Transaction.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198" w:name="page199"/>
    <w:bookmarkEnd w:id="198"/>
    <w:p>
      <w:pPr>
        <w:ind w:left="700" w:hanging="264"/>
        <w:spacing w:after="0"/>
        <w:tabs>
          <w:tab w:leader="none" w:pos="7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above provisions of this Section shall similarly apply to successive Specified Transactions.</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any Specified Transaction, references to “Common Stock” shall be deemed to refer to any Reference Property that constitutes Common Equity after giving effect to such Specified Transaction.</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Common Stock issued upon conversion of Notes will be fully paid and non-assessable by the Company and free from all taxes, liens and charges with respect to the issuance thereof.</w:t>
      </w:r>
    </w:p>
    <w:p>
      <w:pPr>
        <w:spacing w:after="0" w:line="160" w:lineRule="exact"/>
        <w:rPr>
          <w:sz w:val="20"/>
          <w:szCs w:val="20"/>
          <w:color w:val="auto"/>
        </w:rPr>
      </w:pPr>
    </w:p>
    <w:p>
      <w:pPr>
        <w:ind w:right="160" w:firstLine="436"/>
        <w:spacing w:after="0" w:line="261"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ind w:right="500" w:firstLine="436"/>
        <w:spacing w:after="0" w:line="266"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7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and Opinion of Counsel (which the Company shall be obligated to file with the Trustee prior to the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199" w:name="page200"/>
    <w:bookmarkEnd w:id="19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p>
      <w:pPr>
        <w:spacing w:after="0" w:line="223" w:lineRule="exact"/>
        <w:rPr>
          <w:sz w:val="20"/>
          <w:szCs w:val="20"/>
          <w:color w:val="auto"/>
        </w:rPr>
      </w:pPr>
    </w:p>
    <w:p>
      <w:pPr>
        <w:ind w:right="40" w:firstLine="436"/>
        <w:spacing w:after="0" w:line="254"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surrender, on or prior to the second Business Day immediately following the Conversion Date, such Notes to a financial institution designated by the Company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 must agree to timely pay and deliver, as the case may be, in exchange for such Notes, cash up to the aggregate principal amount of such Notes and cash, shares of Common Stock or combination thereof, at the Company’s election, in respect of the remainder, if any, of the Conversion Obligation in excess of the aggregate principal amount of such Notes that would otherwise be due upon conversion pursuant to</w:t>
      </w:r>
    </w:p>
    <w:p>
      <w:pPr>
        <w:spacing w:after="0" w:line="3" w:lineRule="exact"/>
        <w:rPr>
          <w:rFonts w:ascii="Times New Roman" w:cs="Times New Roman" w:eastAsia="Times New Roman" w:hAnsi="Times New Roman"/>
          <w:sz w:val="18"/>
          <w:szCs w:val="18"/>
          <w:color w:val="auto"/>
        </w:rPr>
      </w:pPr>
    </w:p>
    <w:p>
      <w:pPr>
        <w:ind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 or such other amount agreed to by the Holder and the Designated Financial Institution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the Company shall, by the close of business on the second Business Day following the relevant Conversion Date, notify in writing the Holder surrendering its Notes for conversion, the Trustee and the Conversion Agent (if other than the Trustee) that the Company has made the Exchange Election, and the Company shall promptly notify the Designated Financial Institution of the relevant deadline for delivery of the Conversion Consideration and the applicable Cash Percentage.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200" w:name="page201"/>
    <w:bookmarkEnd w:id="200"/>
    <w:p>
      <w:pPr>
        <w:ind w:right="40" w:firstLine="436"/>
        <w:spacing w:after="0" w:line="258"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Notes delivered to the Designated Financial Institution shall remain outstanding, subject to the applicable procedures of the Depositary. If the Designated Financial Institution agrees to accept any Notes for exchange but does not timely pay and deliver, as the case may be, the related Conversion Consideration, or if such Designated Financial Institution does not accept the Notes for exchange, the Company shall pay and deliver, as the case may be, the relevant Conversion Consideration, as, and at the time, required pursuant to this Indenture as if the Company had not made an Exchange Election.</w:t>
      </w:r>
    </w:p>
    <w:p>
      <w:pPr>
        <w:spacing w:after="0" w:line="183"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 to which the Notes may be submitted for exchange does not require such Designated Financial Institution to accept any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r>
        <w:rPr>
          <w:rFonts w:ascii="Times New Roman" w:cs="Times New Roman" w:eastAsia="Times New Roman" w:hAnsi="Times New Roman"/>
          <w:sz w:val="18"/>
          <w:szCs w:val="18"/>
          <w:color w:val="auto"/>
        </w:rPr>
        <w:t xml:space="preserve"> (a) If a Fundamental Change occurs at any time prior to the Maturity Date, each Holder shall have the right, at such Holder’s option, to require the Company to repurchase for cash all of such Holder’s Notes, or any portion thereof that is equal to a minimum of $1,000 principal amount or a multiple of $1,000 in excess thereof, on the date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Repurchase Date</w:t>
      </w:r>
      <w:r>
        <w:rPr>
          <w:rFonts w:ascii="Times New Roman" w:cs="Times New Roman" w:eastAsia="Times New Roman" w:hAnsi="Times New Roman"/>
          <w:sz w:val="18"/>
          <w:szCs w:val="18"/>
          <w:color w:val="auto"/>
        </w:rPr>
        <w:t>”) specified by the Company that is not less than 20 calendar days or more than 35 calendar days following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Special Interest, if any,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Holders of record as of such Special Interest Record Date, and the Fundamental Change Repurchase Price shall be equal to 100% of the principal amount of Notes to be repurchased pursuant to this Section 15.02. To the extent that the provisions of any securities laws or regulations enacted or adopted conflict with the provisions set forth in this Article 15 relating to the Company’s obligation to repurchase Notes upon a Fundamental Change, the Company shall comply with the applicable securities laws and regulations and shall not be deemed to have breached its obligations under this Article 15 relating to the repurchase of Notes upon a Fundamental Change by virtue of such conflict.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repurchase, or to make an offer to repurchase, the Notes upon a Fundamental Change if a third party makes such an offer in the same manner, at the same time and otherwise in compliance with the requirements for an offer made by the Company upon a Fundamental Change as set forth in this Article 15 and such third party purchases all Notes properly surrendered and not validly withdrawn under its offer in the same manner, at the same time and otherwise in compliance with the requirements for an offer made by the Company upon a Fundamental Change as set forth in this Article 15.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201" w:name="page202"/>
    <w:bookmarkEnd w:id="201"/>
    <w:p>
      <w:pPr>
        <w:ind w:left="700" w:hanging="264"/>
        <w:spacing w:after="0"/>
        <w:tabs>
          <w:tab w:leader="none" w:pos="7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of Notes under this Section 15.02 shall be made, at the option of the Holder thereof, upon:</w:t>
      </w:r>
    </w:p>
    <w:p>
      <w:pPr>
        <w:spacing w:after="0" w:line="113"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07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the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72"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address of the Paying Agent set forth in the relevant Fundamental Change Company Notice, or book-entry transfer of the Notes, if the Notes are Global Notes, in compliance with the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Fundamental Change Repurchase Notice shall state:</w:t>
      </w:r>
    </w:p>
    <w:p>
      <w:pPr>
        <w:spacing w:after="0" w:line="117" w:lineRule="exact"/>
        <w:rPr>
          <w:sz w:val="20"/>
          <w:szCs w:val="20"/>
          <w:color w:val="auto"/>
        </w:rPr>
      </w:pPr>
    </w:p>
    <w:p>
      <w:pPr>
        <w:ind w:left="1600" w:hanging="212"/>
        <w:spacing w:after="0"/>
        <w:tabs>
          <w:tab w:leader="none" w:pos="16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delivered for repurchase;</w:t>
      </w:r>
    </w:p>
    <w:p>
      <w:pPr>
        <w:spacing w:after="0" w:line="117"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a minimum of $1,000 or a multiple of $1,000 in excess thereof;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Fundamental Change Repurchase Notice must comply with appropriate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w:t>
      </w:r>
    </w:p>
    <w:p>
      <w:pPr>
        <w:spacing w:after="0" w:line="16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Notice or written notice of withdrawal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202" w:name="page203"/>
    <w:bookmarkEnd w:id="202"/>
    <w:p>
      <w:pPr>
        <w:ind w:right="60" w:firstLine="436"/>
        <w:spacing w:after="0" w:line="258" w:lineRule="auto"/>
        <w:tabs>
          <w:tab w:leader="none" w:pos="6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before the 20th Business Day after the occurrence of a Fundamental Change, the Company shall provide to all Holders of Notes and the Trustee and the Paying Agent (in the case of a Paying Agent other than the Trustee) a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Fundamental Change;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 15.02;</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 pursuant to this Section 15.02.</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such Fundamental Change Company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 and such request shall be made by the Company at least five Business Days (or such shorter period as may be agreed to by the Trustee) prior to the date such Fundamental Change Company Notice is required to be sent to Holders.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203" w:name="page204"/>
    <w:bookmarkEnd w:id="203"/>
    <w:p>
      <w:pPr>
        <w:ind w:right="60" w:firstLine="436"/>
        <w:spacing w:after="0" w:line="254"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canceled, and, upon such return or cancellation, as the case may be, the Fundamental Change Repurchase Notice with respect thereto shall be deemed to have been withdrawn.</w:t>
      </w:r>
    </w:p>
    <w:p>
      <w:pPr>
        <w:spacing w:after="0" w:line="19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by means of a written notice of withdrawal delivered to the Paying Agent in accordance with this Section 15.03 at any time prior to the close of business on the Business Day immediately preceding the Fundamental Change Repurchase Date specifying:</w:t>
      </w:r>
    </w:p>
    <w:p>
      <w:pPr>
        <w:spacing w:after="0" w:line="67" w:lineRule="exact"/>
        <w:rPr>
          <w:sz w:val="20"/>
          <w:szCs w:val="20"/>
          <w:color w:val="auto"/>
        </w:rPr>
      </w:pPr>
    </w:p>
    <w:p>
      <w:pPr>
        <w:ind w:left="1080" w:hanging="221"/>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 of the Note in respect of which such notice of withdrawal is being submitted,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40" w:right="220" w:firstLine="419"/>
        <w:spacing w:after="0" w:line="282" w:lineRule="auto"/>
        <w:tabs>
          <w:tab w:leader="none" w:pos="11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a minimum principal amount of $1,000 or a multiple of $1,000 in excess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notice must comply with appropriate procedures of the Depositary.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pursuant to Section 15.03)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204" w:name="page205"/>
    <w:bookmarkEnd w:id="20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to the Depositary shall be made by wire transfer of immediately available funds to the account of the Depositary or its nominee. The Trustee (or other Paying Agent appointed by the Company) shall, promptly after such payment and upon written demand by the Company, return to the Company any funds in excess of the Fundamental Change Repurchase Price.</w:t>
      </w:r>
    </w:p>
    <w:p>
      <w:pPr>
        <w:spacing w:after="0" w:line="176" w:lineRule="exact"/>
        <w:rPr>
          <w:sz w:val="20"/>
          <w:szCs w:val="20"/>
          <w:color w:val="auto"/>
        </w:rPr>
      </w:pPr>
    </w:p>
    <w:p>
      <w:pPr>
        <w:ind w:firstLine="436"/>
        <w:spacing w:after="0" w:line="255" w:lineRule="auto"/>
        <w:tabs>
          <w:tab w:leader="none" w:pos="6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in accordance with the provisions of this Indenture, (i) such Notes will cease to be outstanding, (ii) Special Interest, if any, will cease to accrue on such Notes (whether or not book-entry transfer of the Notes has been made or the Notes have been delivered to the Trustee or Paying Agent) and (iii) all other rights of the Holders of such Notes will terminate on the Fundamental Change Repurchase Date (other than the right to receive the Fundamental Change Repurchase Price).</w:t>
      </w:r>
    </w:p>
    <w:p>
      <w:pPr>
        <w:spacing w:after="0" w:line="188"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Physical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the Company will, if required:</w:t>
      </w:r>
    </w:p>
    <w:p>
      <w:pPr>
        <w:spacing w:after="0" w:line="160" w:lineRule="exact"/>
        <w:rPr>
          <w:sz w:val="20"/>
          <w:szCs w:val="20"/>
          <w:color w:val="auto"/>
        </w:rPr>
      </w:pPr>
    </w:p>
    <w:p>
      <w:pPr>
        <w:ind w:left="680" w:hanging="244"/>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Rule 13e-4, Rule 14e-1 and any other tender offer rules under the Exchange Act;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federal and state securities laws in connection with any offer by the Company to repurchase the Notes;</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in each case, so as to permit the rights and obligations under this Article 15 to be exercised in the time and in the manner specified in this Article 15.</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20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No Optional Redemption</w:t>
      </w:r>
      <w:r>
        <w:rPr>
          <w:rFonts w:ascii="Times New Roman" w:cs="Times New Roman" w:eastAsia="Times New Roman" w:hAnsi="Times New Roman"/>
          <w:sz w:val="18"/>
          <w:szCs w:val="18"/>
          <w:color w:val="auto"/>
        </w:rPr>
        <w:t>. The Notes shall not be redeemable by the Company prior to the Maturity Date, and no sinking fund is provided for the Notes.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Corporation.</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made by the Trustee or by the Holders on the Company shall be deemed to have been sufficiently given or made, for all purposes if given or made by being deposited postage prepaid by registered or certified mail in a post office letter box addressed (until another address is filed by the Company with the Trustee) to Akamai Technologies, Inc., 145 Broadway, Cambridge, Massachusetts 02142, Attention: General Counsel. Any notice, direction, request or demand hereunder to or upon the Trustee shall be deemed to have been sufficiently given or made, for all purposes, if given or made by being deposited postage prepaid by registered or certified mail in a post office letter box addressed to the Corporate Trust Office or sent electronically in PDF format and, in each case, upon actual receipt by the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notice or communication mailed to a Holder shall be mailed to it by first class mail, postage prepaid, at its address as it appears on the Note Register and shall be sufficiently given to it if so mailed within the time prescribed;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notices given to Holders of Global Notes may be given electronically through the facilities of the Depositary.</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62"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206" w:name="page207"/>
    <w:bookmarkEnd w:id="206"/>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Each Officer’s Certificate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thereto have been complied with.</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(and refrain from acting until it receives), such Opinion of Counsel.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68" w:right="459" w:bottom="1440" w:gutter="0" w:footer="0" w:header="0"/>
        </w:sectPr>
      </w:pPr>
    </w:p>
    <w:bookmarkStart w:id="207" w:name="page208"/>
    <w:bookmarkEnd w:id="20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Special Interest Payment Date, Fundamental Change Repurchase Date or Maturity Date is not a Business Day, then any action to be taken on such date need not be taken on such date, but may be taken on the next succeeding Business Day with the same force and effect as if taken on such date, and no Special Interest, if and to the extent Special Interest is otherwise payable on such date, shall accrue in respect of the delay.</w:t>
      </w:r>
    </w:p>
    <w:p>
      <w:pPr>
        <w:spacing w:after="0" w:line="180"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68" w:right="459" w:bottom="1440" w:gutter="0" w:footer="0" w:header="0"/>
        </w:sectPr>
      </w:pPr>
    </w:p>
    <w:bookmarkStart w:id="208" w:name="page209"/>
    <w:bookmarkEnd w:id="208"/>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 Electronic Signatures.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The words “execution,” “signed,”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 Without limitation to the foregoing, and anything in this Indenture to the contrary notwithstanding, (a) any Officer’s Certificate, Opinion of Counsel, any Note, notice or other certificate, opinion of counsel, instrument, agreement or other document delivered pursuant to this Indenture may be executed, attested and transmitted by any of the foregoing electronic means and formats and (b) all references to the execution, attestation or authentication of any</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40"/>
          </w:cols>
          <w:pgMar w:left="440" w:top="270" w:right="519" w:bottom="1440" w:gutter="0" w:footer="0" w:header="0"/>
        </w:sectPr>
      </w:pPr>
    </w:p>
    <w:bookmarkStart w:id="209" w:name="page210"/>
    <w:bookmarkEnd w:id="20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or any certificate of authentication appearing on or attached to any Note by means of a manual or facsimile signature shall be deemed to include signatures that are made or transmitted by any of the foregoing electronic means or formats. All notices, approvals, consents, requests and any communications hereunder must be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communication sent to Trustee hereunder that is required to be signed must be in the form of a document that is signed manually or by any of the electronic means or formats described above)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85"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right="560" w:firstLine="440"/>
        <w:spacing w:after="0" w:line="290" w:lineRule="auto"/>
        <w:rPr>
          <w:sz w:val="20"/>
          <w:szCs w:val="20"/>
          <w:color w:val="auto"/>
        </w:rPr>
      </w:pPr>
      <w:r>
        <w:rPr>
          <w:rFonts w:ascii="Times New Roman" w:cs="Times New Roman" w:eastAsia="Times New Roman" w:hAnsi="Times New Roman"/>
          <w:sz w:val="17"/>
          <w:szCs w:val="17"/>
          <w:color w:val="auto"/>
        </w:rPr>
        <w:t>Section 17.13</w:t>
      </w:r>
      <w:r>
        <w:rPr>
          <w:rFonts w:ascii="Times New Roman" w:cs="Times New Roman" w:eastAsia="Times New Roman" w:hAnsi="Times New Roman"/>
          <w:sz w:val="17"/>
          <w:szCs w:val="17"/>
          <w:i w:val="1"/>
          <w:iCs w:val="1"/>
          <w:color w:val="auto"/>
        </w:rPr>
        <w:t>. Waiver of Jury Trial.</w:t>
      </w:r>
      <w:r>
        <w:rPr>
          <w:rFonts w:ascii="Times New Roman" w:cs="Times New Roman" w:eastAsia="Times New Roman" w:hAnsi="Times New Roman"/>
          <w:sz w:val="17"/>
          <w:szCs w:val="17"/>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the Notes. These calculations include, but are not limited to, determinations of the Stock Price, the Last Reported Sale Prices of the Common Stock, the Daily VWAPs, the Daily Conversion Values, the Daily Net Settlement Amounts, the Daily Settlement Amounts, any accrued Special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210" w:name="page211"/>
    <w:bookmarkEnd w:id="21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(in all of its capacities),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80" w:firstLine="419"/>
        <w:spacing w:after="0" w:line="266" w:lineRule="auto"/>
        <w:tabs>
          <w:tab w:leader="none" w:pos="11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58" w:lineRule="auto"/>
        <w:tabs>
          <w:tab w:leader="none" w:pos="11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AKAMAI TECHNOLOGIES,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213" w:name="page214"/>
    <w:bookmarkEnd w:id="21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PURSUANT TO A REGISTRATION STATEMENT THAT HAS BECOME EFFECTIVE UNDER THE SECURITIES ACT,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980" w:right="240" w:firstLine="408"/>
        <w:spacing w:after="0" w:line="282" w:lineRule="auto"/>
        <w:tabs>
          <w:tab w:leader="none" w:pos="16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AKAMAI TECHNOLOGIES, INC. OR PERSON THAT HAS BEEN AN AFFILIATE (AS DEFINED IN RULE 144 UNDER THE SECURITIES ACT) OF AKAMAI TECHNOLOGIES, INC. DURING THE IMMEDIATELY PRECEDING THREE MONTHS MAY PURCHASE, OTHERWISE ACQUIRE OR HOLD THIS SECURITY OR A BENEFICIAL INTEREST HEREIN.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214" w:name="page215"/>
    <w:bookmarkEnd w:id="21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Akamai Technologies,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0.00% Convertible Senior Note due 2032</w:t>
      </w:r>
    </w:p>
    <w:p>
      <w:pPr>
        <w:sectPr>
          <w:pgSz w:w="11900" w:h="16838" w:orient="portrait"/>
          <w:cols w:equalWidth="0" w:num="1">
            <w:col w:w="11004"/>
          </w:cols>
          <w:pgMar w:left="436" w:top="270" w:right="459" w:bottom="1440" w:gutter="0" w:footer="0" w:header="0"/>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$[_________]</w:t>
      </w:r>
    </w:p>
    <w:p>
      <w:pPr>
        <w:spacing w:after="0" w:line="200" w:lineRule="exact"/>
        <w:rPr>
          <w:sz w:val="20"/>
          <w:szCs w:val="20"/>
          <w:color w:val="auto"/>
        </w:rPr>
      </w:pPr>
    </w:p>
    <w:p>
      <w:pPr>
        <w:sectPr>
          <w:pgSz w:w="11900" w:h="16838" w:orient="portrait"/>
          <w:cols w:equalWidth="0" w:num="2">
            <w:col w:w="6444" w:space="720"/>
            <w:col w:w="3840"/>
          </w:cols>
          <w:pgMar w:left="436" w:top="270" w:right="4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No. [________]</w:t>
      </w:r>
    </w:p>
    <w:p>
      <w:pPr>
        <w:sectPr>
          <w:pgSz w:w="11900" w:h="16838" w:orient="portrait"/>
          <w:cols w:equalWidth="0" w:num="1">
            <w:col w:w="11004"/>
          </w:cols>
          <w:pgMar w:left="436" w:top="270" w:right="459" w:bottom="1440" w:gutter="0" w:footer="0" w:header="0"/>
          <w:type w:val="continuous"/>
        </w:sectPr>
      </w:pPr>
    </w:p>
    <w:p>
      <w:pPr>
        <w:spacing w:after="0" w:line="233" w:lineRule="exact"/>
        <w:rPr>
          <w:sz w:val="20"/>
          <w:szCs w:val="20"/>
          <w:color w:val="auto"/>
        </w:rPr>
      </w:pPr>
    </w:p>
    <w:p>
      <w:pPr>
        <w:ind w:left="4" w:right="80" w:firstLine="440"/>
        <w:spacing w:after="0" w:line="226" w:lineRule="auto"/>
        <w:rPr>
          <w:sz w:val="20"/>
          <w:szCs w:val="20"/>
          <w:color w:val="auto"/>
        </w:rPr>
      </w:pPr>
      <w:r>
        <w:rPr>
          <w:rFonts w:ascii="Times New Roman" w:cs="Times New Roman" w:eastAsia="Times New Roman" w:hAnsi="Times New Roman"/>
          <w:sz w:val="18"/>
          <w:szCs w:val="18"/>
          <w:color w:val="auto"/>
        </w:rPr>
        <w:t>Akamai Technologies,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[_______]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[of</w:t>
      </w:r>
    </w:p>
    <w:p>
      <w:pPr>
        <w:ind w:left="4"/>
        <w:spacing w:after="0" w:line="180" w:lineRule="auto"/>
        <w:rPr>
          <w:sz w:val="20"/>
          <w:szCs w:val="20"/>
          <w:color w:val="auto"/>
        </w:rPr>
      </w:pPr>
      <w:r>
        <w:rPr>
          <w:rFonts w:ascii="Times New Roman" w:cs="Times New Roman" w:eastAsia="Times New Roman" w:hAnsi="Times New Roman"/>
          <w:sz w:val="17"/>
          <w:szCs w:val="17"/>
          <w:color w:val="auto"/>
        </w:rPr>
        <w:t>$[_______]]</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w:t>
      </w:r>
    </w:p>
    <w:p>
      <w:pPr>
        <w:spacing w:after="0" w:line="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exceed $1,750,000,000 in aggregate at any time, in accordance with the rules and procedures of the Depositary, on May 15, 2032, and Special Interest, if any, thereon as set forth below.</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This Note shall not bear regular interest, and the principal amount shall not accrete. Any Special Interest on this Note is payable semi-annually in arrears on each May 15 and November 15, commencing on November 15, 2026 (if any Special Interest is then payable), to Holders of record at the close of business on the preceding May 1 and November 1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and/or to any interest on any Defaulted Amounts payable as set forth in Section 2.03(c) of the within-mentioned Indenture.</w:t>
      </w:r>
    </w:p>
    <w:p>
      <w:pPr>
        <w:spacing w:after="0" w:line="18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Any Defaulted Amounts shall not accrue interest unless Special Interest was payable on the required payment date, in which case such Defaulted Amounts shall accrue interest per annum at the then-applicable Special Interest rate borne by the Notes from, and including, the relevant payment date to, but excluding, the date on which such Defaulted Amounts shall have been paid by the Company, at its election, in accordance with Section 2.03(c) of the Indenture.</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pay the principal of and Special Interest, if any,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ind w:left="424" w:hanging="424"/>
        <w:spacing w:after="0" w:line="180" w:lineRule="auto"/>
        <w:tabs>
          <w:tab w:leader="none" w:pos="424" w:val="left"/>
        </w:tabs>
        <w:numPr>
          <w:ilvl w:val="0"/>
          <w:numId w:val="1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0" w:lineRule="auto"/>
        <w:tabs>
          <w:tab w:leader="none" w:pos="424" w:val="left"/>
        </w:tabs>
        <w:numPr>
          <w:ilvl w:val="0"/>
          <w:numId w:val="1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ind w:left="424" w:hanging="424"/>
        <w:spacing w:after="0" w:line="180" w:lineRule="auto"/>
        <w:tabs>
          <w:tab w:leader="none" w:pos="424" w:val="left"/>
        </w:tabs>
        <w:numPr>
          <w:ilvl w:val="0"/>
          <w:numId w:val="18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1" w:lineRule="auto"/>
        <w:tabs>
          <w:tab w:leader="none" w:pos="424" w:val="left"/>
        </w:tabs>
        <w:numPr>
          <w:ilvl w:val="0"/>
          <w:numId w:val="18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70" w:right="459" w:bottom="1440" w:gutter="0" w:footer="0" w:header="0"/>
          <w:type w:val="continuous"/>
        </w:sectPr>
      </w:pPr>
    </w:p>
    <w:bookmarkStart w:id="215" w:name="page216"/>
    <w:bookmarkEnd w:id="21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or agency designated by the Company for that purpose. The Company has initially designated the Trustee as its Paying Agent and Note Registrar in respect of the Notes and its designated office in the United States of America as a place where Notes may be presented for payment or for registration of transfer and exchange.</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216" w:name="page217"/>
    <w:bookmarkEnd w:id="2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AKAMAI TECHNOLOGIES, INC.</w:t>
      </w:r>
    </w:p>
    <w:p>
      <w:pPr>
        <w:spacing w:after="0" w:line="2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 due 2032</w:t>
      </w:r>
    </w:p>
    <w:p>
      <w:pPr>
        <w:spacing w:after="0" w:line="20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$1,750,000,000, all issued or to be issued under and pursuant to an Indenture dated as of May 22,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In case certain Events of Default, as defined in the Indenture, shall have occurred and be continuing, the principal of, and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the principal (including the Fundamental Change Repurchase Price, if applicable) of, any accrued and unpaid Special Interest and interest pursuant to Section 2.03(c), if any, on, and the consideration due upon conversion of, this Note at the place, at the respective times, at the rate and in the lawful money (or, if applicable, shares of Common Stock) herein prescribed.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R-1</w:t>
      </w:r>
    </w:p>
    <w:p>
      <w:pPr>
        <w:sectPr>
          <w:pgSz w:w="11900" w:h="16838" w:orient="portrait"/>
          <w:cols w:equalWidth="0" w:num="1">
            <w:col w:w="11020"/>
          </w:cols>
          <w:pgMar w:left="440" w:top="270" w:right="439" w:bottom="1440" w:gutter="0" w:footer="0" w:header="0"/>
        </w:sectPr>
      </w:pPr>
    </w:p>
    <w:bookmarkStart w:id="218" w:name="page219"/>
    <w:bookmarkEnd w:id="218"/>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are issuable in registered form without coupons in minimum denominations of $1,000 principal amount and multiples of $1,000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not subject to redemption through the operation of any sinking fund or otherwise.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minimum principal amounts of $1,000 or multiples of $1,000 in excess thereof) on the Fundamental Change Repurchase Date at a price equal to the Fundamental Change Repurchase Price.</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 multiple of $1,000 in excess thereof, into cash and, if applicable, shares of Common Stock, in each case, at the Conversion Rate specified in the Indenture, as adjusted from time to time as provided in the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Terms used in this Note and defined in the Indenture are used herein as therein defined.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R-2</w:t>
      </w:r>
    </w:p>
    <w:p>
      <w:pPr>
        <w:sectPr>
          <w:pgSz w:w="11900" w:h="16838" w:orient="portrait"/>
          <w:cols w:equalWidth="0" w:num="1">
            <w:col w:w="11000"/>
          </w:cols>
          <w:pgMar w:left="440" w:top="270" w:right="459" w:bottom="1440" w:gutter="0" w:footer="0" w:header="0"/>
        </w:sectPr>
      </w:pPr>
    </w:p>
    <w:bookmarkStart w:id="219" w:name="page220"/>
    <w:bookmarkEnd w:id="219"/>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left="440" w:right="4760" w:hanging="439"/>
        <w:spacing w:after="0" w:line="488" w:lineRule="auto"/>
        <w:rPr>
          <w:sz w:val="20"/>
          <w:szCs w:val="20"/>
          <w:color w:val="auto"/>
        </w:rPr>
      </w:pPr>
      <w:r>
        <w:rPr>
          <w:rFonts w:ascii="Times New Roman" w:cs="Times New Roman" w:eastAsia="Times New Roman" w:hAnsi="Times New Roman"/>
          <w:sz w:val="17"/>
          <w:szCs w:val="17"/>
          <w:color w:val="auto"/>
        </w:rPr>
        <w:t>JT TEN = joint tenants with right of survivorship and not as tenants in common Additional abbreviations may also be used though not in the above list.</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R-3</w:t>
      </w:r>
    </w:p>
    <w:p>
      <w:pPr>
        <w:sectPr>
          <w:pgSz w:w="11900" w:h="16838" w:orient="portrait"/>
          <w:cols w:equalWidth="0" w:num="1">
            <w:col w:w="10480"/>
          </w:cols>
          <w:pgMar w:left="440" w:top="270" w:right="97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r>
        <w:rPr>
          <w:rFonts w:ascii="Times New Roman" w:cs="Times New Roman" w:eastAsia="Times New Roman" w:hAnsi="Times New Roman"/>
          <w:sz w:val="26"/>
          <w:szCs w:val="26"/>
          <w:b w:val="1"/>
          <w:bCs w:val="1"/>
          <w:color w:val="auto"/>
          <w:vertAlign w:val="superscript"/>
        </w:rPr>
        <w:t>6</w:t>
      </w:r>
    </w:p>
    <w:p>
      <w:pPr>
        <w:spacing w:after="0" w:line="1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0.00% Convertible Senior Notes due 2032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 The following increases or decreases in this Global Note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been made:</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6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3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Date of exchange</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3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 decrease or</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3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R-4</w:t>
      </w:r>
    </w:p>
    <w:p>
      <w:pPr>
        <w:sectPr>
          <w:pgSz w:w="11900" w:h="16838" w:orient="portrait"/>
          <w:cols w:equalWidth="0" w:num="1">
            <w:col w:w="11024"/>
          </w:cols>
          <w:pgMar w:left="436" w:top="266" w:right="4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Akamai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Special Interest accompanies this Note.</w:t>
      </w:r>
    </w:p>
    <w:p>
      <w:pPr>
        <w:sectPr>
          <w:pgSz w:w="11900" w:h="16838" w:orient="portrait"/>
          <w:cols w:equalWidth="0" w:num="1">
            <w:col w:w="11020"/>
          </w:cols>
          <w:pgMar w:left="440" w:top="266" w:right="4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0"/>
          <w:szCs w:val="20"/>
          <w:color w:val="auto"/>
        </w:rPr>
      </w:pPr>
    </w:p>
    <w:p>
      <w:pPr>
        <w:sectPr>
          <w:pgSz w:w="11900" w:h="16838" w:orient="portrait"/>
          <w:cols w:equalWidth="0" w:num="2">
            <w:col w:w="2640" w:space="720"/>
            <w:col w:w="7660"/>
          </w:cols>
          <w:pgMar w:left="440" w:top="266" w:right="439" w:bottom="1440" w:gutter="0" w:footer="0" w:header="0"/>
          <w:type w:val="continuous"/>
        </w:sectPr>
      </w:pPr>
    </w:p>
    <w:p>
      <w:pPr>
        <w:spacing w:after="0" w:line="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Signature(s)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Common Stock are to be issued,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177165</wp:posOffset>
            </wp:positionV>
            <wp:extent cx="27946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9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Akamai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3"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Akamai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Special Interest Payment Date to which such Special Interest Record Date relates, accrued and unpaid Special Interest, if any, thereon to, but excluding, such Fundamental Change Repurchase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repurchased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3</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 and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 Mitchell (Akamai Technologies, Inc. Administrator)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16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Akamai Technologies, Inc. or a subsidiary thereof; or</w:t>
      </w:r>
    </w:p>
    <w:p>
      <w:pPr>
        <w:spacing w:after="0" w:line="225" w:lineRule="exact"/>
        <w:rPr>
          <w:sz w:val="20"/>
          <w:szCs w:val="20"/>
          <w:color w:val="auto"/>
        </w:rPr>
      </w:pPr>
    </w:p>
    <w:p>
      <w:pPr>
        <w:ind w:right="18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registration statement that has become effective under the Securities Act of 1933, as amended and that continues to be effective at the time of such transfer; or</w:t>
      </w:r>
    </w:p>
    <w:p>
      <w:pPr>
        <w:spacing w:after="0" w:line="15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144A under the Securities Act of 1933, as amended; or</w:t>
      </w:r>
    </w:p>
    <w:p>
      <w:pPr>
        <w:spacing w:after="0" w:line="225" w:lineRule="exact"/>
        <w:rPr>
          <w:sz w:val="20"/>
          <w:szCs w:val="20"/>
          <w:color w:val="auto"/>
        </w:rPr>
      </w:pPr>
    </w:p>
    <w:p>
      <w:pPr>
        <w:ind w:right="18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 under the Securities Act of 1933, as amended, or any other available exemption from the registration requirements of the Securities Act of 1933, as amended.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 than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whatsoever.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226" w:name="page227"/>
    <w:bookmarkEnd w:id="226"/>
    <w:tbl>
      <w:tblPr>
        <w:tblLayout w:type="fixed"/>
        <w:tblInd w:w="4"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c>
          <w:tcPr>
            <w:tcW w:w="0" w:type="dxa"/>
            <w:vAlign w:val="bottom"/>
          </w:tcPr>
          <w:p>
            <w:pPr>
              <w:spacing w:after="0"/>
              <w:rPr>
                <w:sz w:val="1"/>
                <w:szCs w:val="1"/>
                <w:color w:val="auto"/>
              </w:rPr>
            </w:pPr>
          </w:p>
        </w:tc>
      </w:tr>
      <w:tr>
        <w:trPr>
          <w:trHeight w:val="432"/>
        </w:trPr>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Name</w:t>
            </w:r>
            <w:r>
              <w:rPr>
                <w:rFonts w:ascii="Times New Roman" w:cs="Times New Roman" w:eastAsia="Times New Roman" w:hAnsi="Times New Roman"/>
                <w:sz w:val="18"/>
                <w:szCs w:val="18"/>
                <w:color w:val="auto"/>
              </w:rPr>
              <w:t>]</w:t>
            </w:r>
          </w:p>
        </w:tc>
        <w:tc>
          <w:tcPr>
            <w:tcW w:w="9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Bid Form</w:t>
            </w:r>
          </w:p>
        </w:tc>
        <w:tc>
          <w:tcPr>
            <w:tcW w:w="0" w:type="dxa"/>
            <w:vAlign w:val="bottom"/>
          </w:tcPr>
          <w:p>
            <w:pPr>
              <w:spacing w:after="0"/>
              <w:rPr>
                <w:sz w:val="1"/>
                <w:szCs w:val="1"/>
                <w:color w:val="auto"/>
              </w:rPr>
            </w:pPr>
          </w:p>
        </w:tc>
      </w:tr>
      <w:tr>
        <w:trPr>
          <w:trHeight w:val="196"/>
        </w:trPr>
        <w:tc>
          <w:tcPr>
            <w:tcW w:w="1780" w:type="dxa"/>
            <w:vAlign w:val="bottom"/>
            <w:gridSpan w:val="3"/>
            <w:vMerge w:val="continue"/>
          </w:tcPr>
          <w:p>
            <w:pPr>
              <w:spacing w:after="0"/>
              <w:rPr>
                <w:sz w:val="17"/>
                <w:szCs w:val="17"/>
                <w:color w:val="auto"/>
              </w:rPr>
            </w:pPr>
          </w:p>
        </w:tc>
        <w:tc>
          <w:tcPr>
            <w:tcW w:w="9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Address</w:t>
            </w:r>
            <w:r>
              <w:rPr>
                <w:rFonts w:ascii="Times New Roman" w:cs="Times New Roman" w:eastAsia="Times New Roman" w:hAnsi="Times New Roman"/>
                <w:sz w:val="18"/>
                <w:szCs w:val="18"/>
                <w:color w:val="auto"/>
              </w:rPr>
              <w:t>]</w:t>
            </w: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 2026</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10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Akamai Technologies, Inc.</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145 Broadway</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Cambridge, Massachusetts 02142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Edward McGowan, Executive Vice President &amp; Chief Financial Officer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Telephone No.:</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(617) 444-3000</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Facsimile No.:</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(617) 444-3001</w:t>
            </w:r>
          </w:p>
        </w:tc>
        <w:tc>
          <w:tcPr>
            <w:tcW w:w="0" w:type="dxa"/>
            <w:vAlign w:val="bottom"/>
          </w:tcPr>
          <w:p>
            <w:pPr>
              <w:spacing w:after="0"/>
              <w:rPr>
                <w:sz w:val="1"/>
                <w:szCs w:val="1"/>
                <w:color w:val="auto"/>
              </w:rPr>
            </w:pPr>
          </w:p>
        </w:tc>
      </w:tr>
      <w:tr>
        <w:trPr>
          <w:trHeight w:val="581"/>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w:t>
            </w:r>
          </w:p>
        </w:tc>
        <w:tc>
          <w:tcPr>
            <w:tcW w:w="10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[Base][Additional] Call Option Transaction</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The purpose of this letter agreement (this “</w:t>
      </w:r>
      <w:r>
        <w:rPr>
          <w:rFonts w:ascii="Times New Roman" w:cs="Times New Roman" w:eastAsia="Times New Roman" w:hAnsi="Times New Roman"/>
          <w:sz w:val="17"/>
          <w:szCs w:val="17"/>
          <w:b w:val="1"/>
          <w:bCs w:val="1"/>
          <w:color w:val="auto"/>
        </w:rPr>
        <w:t>Confirmation</w:t>
      </w:r>
      <w:r>
        <w:rPr>
          <w:rFonts w:ascii="Times New Roman" w:cs="Times New Roman" w:eastAsia="Times New Roman" w:hAnsi="Times New Roman"/>
          <w:sz w:val="17"/>
          <w:szCs w:val="17"/>
          <w:color w:val="auto"/>
        </w:rPr>
        <w:t>”) is to confirm the terms and conditions of the call option transaction entered into between [______] (“</w:t>
      </w:r>
      <w:r>
        <w:rPr>
          <w:rFonts w:ascii="Times New Roman" w:cs="Times New Roman" w:eastAsia="Times New Roman" w:hAnsi="Times New Roman"/>
          <w:sz w:val="17"/>
          <w:szCs w:val="17"/>
          <w:b w:val="1"/>
          <w:bCs w:val="1"/>
          <w:color w:val="auto"/>
        </w:rPr>
        <w:t>Dealer</w:t>
      </w:r>
      <w:r>
        <w:rPr>
          <w:rFonts w:ascii="Times New Roman" w:cs="Times New Roman" w:eastAsia="Times New Roman" w:hAnsi="Times New Roman"/>
          <w:sz w:val="17"/>
          <w:szCs w:val="17"/>
          <w:color w:val="auto"/>
        </w:rPr>
        <w:t>”) and Akamai Technologies, Inc. (“</w:t>
      </w:r>
      <w:r>
        <w:rPr>
          <w:rFonts w:ascii="Times New Roman" w:cs="Times New Roman" w:eastAsia="Times New Roman" w:hAnsi="Times New Roman"/>
          <w:sz w:val="17"/>
          <w:szCs w:val="17"/>
          <w:b w:val="1"/>
          <w:bCs w:val="1"/>
          <w:color w:val="auto"/>
        </w:rPr>
        <w:t>Counterparty</w:t>
      </w:r>
      <w:r>
        <w:rPr>
          <w:rFonts w:ascii="Times New Roman" w:cs="Times New Roman" w:eastAsia="Times New Roman" w:hAnsi="Times New Roman"/>
          <w:sz w:val="17"/>
          <w:szCs w:val="17"/>
          <w:color w:val="auto"/>
        </w:rPr>
        <w:t>”) as of the Trade Date specified below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This letter</w:t>
      </w:r>
    </w:p>
    <w:p>
      <w:pPr>
        <w:spacing w:after="0" w:line="1" w:lineRule="exact"/>
        <w:rPr>
          <w:sz w:val="20"/>
          <w:szCs w:val="20"/>
          <w:color w:val="auto"/>
        </w:rPr>
      </w:pPr>
    </w:p>
    <w:p>
      <w:pPr>
        <w:ind w:left="4" w:right="360"/>
        <w:spacing w:after="0" w:line="260" w:lineRule="auto"/>
        <w:rPr>
          <w:sz w:val="20"/>
          <w:szCs w:val="20"/>
          <w:color w:val="auto"/>
        </w:rPr>
      </w:pPr>
      <w:r>
        <w:rPr>
          <w:rFonts w:ascii="Times New Roman" w:cs="Times New Roman" w:eastAsia="Times New Roman" w:hAnsi="Times New Roman"/>
          <w:sz w:val="18"/>
          <w:szCs w:val="18"/>
          <w:color w:val="auto"/>
        </w:rPr>
        <w:t>agreement constitutes a “Confirmation” as referred to in the ISDA Master Agreement specified below. This Confirmation shall replace any previous agreements and serve as the final documentation for the Transaction.</w:t>
      </w:r>
    </w:p>
    <w:p>
      <w:pPr>
        <w:spacing w:after="0" w:line="177" w:lineRule="exact"/>
        <w:rPr>
          <w:sz w:val="20"/>
          <w:szCs w:val="20"/>
          <w:color w:val="auto"/>
        </w:rPr>
      </w:pPr>
    </w:p>
    <w:p>
      <w:pPr>
        <w:ind w:left="4" w:right="20" w:firstLine="440"/>
        <w:spacing w:after="0" w:line="233"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May [__], 2026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0.00% Convertible Senior Notes due [2030]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[2032]</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 Counterparty in an aggregate initial principal amount of USD 1,500,000,000 [as increased by up to an aggregate principal amount of USD 250,000,000 if and to the extent that the Initial Purchasers (as defined herein) exercise their option to purchase additional Convertible Notes pursuant to the Purchase Agreement (as defined herein)]</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[as increased by an aggregate principal amount of USD 250,000,000 in connection with the exercise by the Initial Purchasers (as defined herein) of their option to purchase additional Convertible Notes pursuant to the Purchase Agreement (as defined herein)]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pursuant to an Indenture [to be] dated May [__], 2026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[Indenture as executed]</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pursuant to (x) Section 10.01(j) of the Indenture that, as determined by the Calculation Agent, conforms the Indenture to the description of the Convertible Notes in the Offering Memorandum or (y) pursuant to Section 14.07 of the Indenture, subject, in the case of this clause (y), to the second paragraph under “Method of Adjustment” in Section 3), any such amendment or supplement will be disregarded for purposes of this Confirmation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715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6" w:lineRule="exact"/>
        <w:rPr>
          <w:sz w:val="20"/>
          <w:szCs w:val="20"/>
          <w:color w:val="auto"/>
        </w:rPr>
      </w:pPr>
    </w:p>
    <w:p>
      <w:pPr>
        <w:ind w:left="424" w:hanging="424"/>
        <w:spacing w:after="0"/>
        <w:tabs>
          <w:tab w:leader="none" w:pos="424" w:val="left"/>
        </w:tabs>
        <w:numPr>
          <w:ilvl w:val="0"/>
          <w:numId w:val="1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4-year tranche.</w:t>
      </w:r>
    </w:p>
    <w:p>
      <w:pPr>
        <w:ind w:left="424" w:hanging="424"/>
        <w:spacing w:after="0" w:line="180" w:lineRule="auto"/>
        <w:tabs>
          <w:tab w:leader="none" w:pos="424" w:val="left"/>
        </w:tabs>
        <w:numPr>
          <w:ilvl w:val="0"/>
          <w:numId w:val="1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6-year tranche.</w:t>
      </w:r>
    </w:p>
    <w:p>
      <w:pPr>
        <w:ind w:left="424" w:hanging="424"/>
        <w:spacing w:after="0" w:line="180" w:lineRule="auto"/>
        <w:tabs>
          <w:tab w:leader="none" w:pos="424" w:val="left"/>
        </w:tabs>
        <w:numPr>
          <w:ilvl w:val="0"/>
          <w:numId w:val="1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Base Call Option Confirmation.</w:t>
      </w:r>
    </w:p>
    <w:p>
      <w:pPr>
        <w:ind w:left="424" w:hanging="424"/>
        <w:spacing w:after="0" w:line="180" w:lineRule="auto"/>
        <w:tabs>
          <w:tab w:leader="none" w:pos="424" w:val="left"/>
        </w:tabs>
        <w:numPr>
          <w:ilvl w:val="0"/>
          <w:numId w:val="19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Additional Call Option Confirmation only.</w:t>
      </w:r>
    </w:p>
    <w:p>
      <w:pPr>
        <w:ind w:left="424" w:hanging="424"/>
        <w:spacing w:after="0" w:line="181" w:lineRule="auto"/>
        <w:tabs>
          <w:tab w:leader="none" w:pos="424" w:val="left"/>
        </w:tabs>
        <w:numPr>
          <w:ilvl w:val="0"/>
          <w:numId w:val="1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in the Base Call Option Confirmation. Insert in the Additional Call Option Confirmation if it is executed before closing of the base deal.</w:t>
      </w:r>
    </w:p>
    <w:p>
      <w:pPr>
        <w:ind w:left="424" w:hanging="424"/>
        <w:spacing w:after="0" w:line="180" w:lineRule="auto"/>
        <w:tabs>
          <w:tab w:leader="none" w:pos="424" w:val="left"/>
        </w:tabs>
        <w:numPr>
          <w:ilvl w:val="0"/>
          <w:numId w:val="1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in the Additional Call Option Confirmation, but only if it is executed after closing of the base deal.</w:t>
      </w:r>
    </w:p>
    <w:p>
      <w:pPr>
        <w:sectPr>
          <w:pgSz w:w="11900" w:h="16838" w:orient="portrait"/>
          <w:cols w:equalWidth="0" w:num="1">
            <w:col w:w="11024"/>
          </w:cols>
          <w:pgMar w:left="436" w:top="117" w:right="439" w:bottom="1440" w:gutter="0" w:footer="0" w:header="0"/>
        </w:sectPr>
      </w:pPr>
    </w:p>
    <w:bookmarkStart w:id="227" w:name="page228"/>
    <w:bookmarkEnd w:id="227"/>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68" w:lineRule="exact"/>
        <w:rPr>
          <w:sz w:val="20"/>
          <w:szCs w:val="20"/>
          <w:color w:val="auto"/>
        </w:rPr>
      </w:pPr>
    </w:p>
    <w:p>
      <w:pPr>
        <w:ind w:left="4" w:right="20" w:hanging="4"/>
        <w:spacing w:after="0" w:line="255" w:lineRule="auto"/>
        <w:tabs>
          <w:tab w:leader="none" w:pos="1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8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39"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710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34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Date: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[________], 2026</w:t>
            </w:r>
          </w:p>
        </w:tc>
      </w:tr>
      <w:tr>
        <w:trPr>
          <w:trHeight w:val="306"/>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Date: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The second Exchange Business Day immediately prior to the Premium Payment</w:t>
            </w:r>
          </w:p>
        </w:tc>
      </w:tr>
      <w:tr>
        <w:trPr>
          <w:trHeight w:val="234"/>
        </w:trPr>
        <w:tc>
          <w:tcPr>
            <w:tcW w:w="1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Style: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Type: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Call</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Buyer:</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Counterparty</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Seller:</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Dealer</w:t>
            </w:r>
          </w:p>
        </w:tc>
      </w:tr>
      <w:tr>
        <w:trPr>
          <w:trHeight w:val="306"/>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The common stock of Counterparty, par value USD 0.01 per share (Exchange</w:t>
            </w:r>
          </w:p>
        </w:tc>
      </w:tr>
      <w:tr>
        <w:trPr>
          <w:trHeight w:val="234"/>
        </w:trPr>
        <w:tc>
          <w:tcPr>
            <w:tcW w:w="1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symbol “AKAM”)</w:t>
            </w:r>
          </w:p>
        </w:tc>
      </w:tr>
      <w:tr>
        <w:trPr>
          <w:trHeight w:val="306"/>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Options:</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[____]</w:t>
            </w:r>
            <w:r>
              <w:rPr>
                <w:rFonts w:ascii="Times New Roman" w:cs="Times New Roman" w:eastAsia="Times New Roman" w:hAnsi="Times New Roman"/>
                <w:sz w:val="26"/>
                <w:szCs w:val="26"/>
                <w:color w:val="auto"/>
                <w:w w:val="99"/>
                <w:vertAlign w:val="superscript"/>
              </w:rPr>
              <w:t>7</w:t>
            </w:r>
            <w:r>
              <w:rPr>
                <w:rFonts w:ascii="Times New Roman" w:cs="Times New Roman" w:eastAsia="Times New Roman" w:hAnsi="Times New Roman"/>
                <w:sz w:val="18"/>
                <w:szCs w:val="18"/>
                <w:color w:val="auto"/>
                <w:w w:val="99"/>
              </w:rPr>
              <w:t>. For the avoidance of doubt, the Number of Options shall be reduced by</w:t>
            </w:r>
          </w:p>
        </w:tc>
      </w:tr>
      <w:tr>
        <w:trPr>
          <w:trHeight w:val="216"/>
        </w:trPr>
        <w:tc>
          <w:tcPr>
            <w:tcW w:w="1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any Options exercised by Counterparty. In no event will the Number of Options</w:t>
            </w:r>
          </w:p>
        </w:tc>
      </w:tr>
      <w:tr>
        <w:trPr>
          <w:trHeight w:val="234"/>
        </w:trPr>
        <w:tc>
          <w:tcPr>
            <w:tcW w:w="1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be less than zero.</w:t>
            </w:r>
          </w:p>
        </w:tc>
      </w:tr>
      <w:tr>
        <w:trPr>
          <w:trHeight w:val="41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 Percentage: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Entitlement:</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w:t>
            </w:r>
            <w:r>
              <w:rPr>
                <w:rFonts w:ascii="Times New Roman" w:cs="Times New Roman" w:eastAsia="Times New Roman" w:hAnsi="Times New Roman"/>
                <w:sz w:val="26"/>
                <w:szCs w:val="26"/>
                <w:color w:val="auto"/>
                <w:vertAlign w:val="superscript"/>
              </w:rPr>
              <w:t>9</w:t>
            </w:r>
          </w:p>
        </w:tc>
      </w:tr>
      <w:tr>
        <w:trPr>
          <w:trHeight w:val="23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Strike Price:</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w:t>
            </w:r>
          </w:p>
        </w:tc>
        <w:tc>
          <w:tcPr>
            <w:tcW w:w="7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USD [___]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Base Call Option Confirmation, to be the number of Convertible Notes in principal amount of USD 1,000 initially issued on the closing</w:t>
      </w:r>
    </w:p>
    <w:p>
      <w:pPr>
        <w:spacing w:after="0" w:line="2" w:lineRule="exact"/>
        <w:rPr>
          <w:sz w:val="20"/>
          <w:szCs w:val="20"/>
          <w:color w:val="auto"/>
        </w:rPr>
      </w:pPr>
    </w:p>
    <w:p>
      <w:pPr>
        <w:ind w:left="424"/>
        <w:spacing w:after="0" w:line="249" w:lineRule="auto"/>
        <w:rPr>
          <w:sz w:val="20"/>
          <w:szCs w:val="20"/>
          <w:color w:val="auto"/>
        </w:rPr>
      </w:pPr>
      <w:r>
        <w:rPr>
          <w:rFonts w:ascii="Times New Roman" w:cs="Times New Roman" w:eastAsia="Times New Roman" w:hAnsi="Times New Roman"/>
          <w:sz w:val="18"/>
          <w:szCs w:val="18"/>
          <w:color w:val="auto"/>
        </w:rPr>
        <w:t>date for the Convertible Notes. For the Additional Call Option Confirmation, to be the number of additional Convertible Notes in principal amount of USD 1,000.</w:t>
      </w:r>
    </w:p>
    <w:p>
      <w:pPr>
        <w:ind w:left="424" w:hanging="424"/>
        <w:spacing w:after="0" w:line="181" w:lineRule="auto"/>
        <w:tabs>
          <w:tab w:leader="none" w:pos="424" w:val="left"/>
        </w:tabs>
        <w:numPr>
          <w:ilvl w:val="0"/>
          <w:numId w:val="1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the relevant percentage for each Dealer.</w:t>
      </w:r>
    </w:p>
    <w:p>
      <w:pPr>
        <w:ind w:left="424" w:hanging="424"/>
        <w:spacing w:after="0" w:line="180" w:lineRule="auto"/>
        <w:tabs>
          <w:tab w:leader="none" w:pos="424" w:val="left"/>
        </w:tabs>
        <w:numPr>
          <w:ilvl w:val="0"/>
          <w:numId w:val="19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the initial Conversion Rate for the Convertible Notes.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28" w:name="page229"/>
    <w:bookmarkEnd w:id="228"/>
    <w:tbl>
      <w:tblPr>
        <w:tblLayout w:type="fixed"/>
        <w:tblInd w:w="364" w:type="dxa"/>
        <w:tblCellMar>
          <w:top w:w="0" w:type="dxa"/>
          <w:left w:w="0" w:type="dxa"/>
          <w:bottom w:w="0" w:type="dxa"/>
          <w:right w:w="0" w:type="dxa"/>
        </w:tblCellMar>
      </w:tblPr>
      <w:tr>
        <w:trPr>
          <w:trHeight w:val="32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[________], 2026</w:t>
            </w:r>
            <w:r>
              <w:rPr>
                <w:rFonts w:ascii="Times New Roman" w:cs="Times New Roman" w:eastAsia="Times New Roman" w:hAnsi="Times New Roman"/>
                <w:sz w:val="26"/>
                <w:szCs w:val="26"/>
                <w:color w:val="auto"/>
                <w:vertAlign w:val="superscript"/>
              </w:rPr>
              <w:t>10</w:t>
            </w:r>
          </w:p>
        </w:tc>
      </w:tr>
      <w:tr>
        <w:trPr>
          <w:trHeight w:val="23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32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Exchange(s):</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2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Provisions:</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Section 14.03 and Section 14.04(h) of the Indenture.</w:t>
            </w:r>
          </w:p>
        </w:tc>
      </w:tr>
      <w:tr>
        <w:trPr>
          <w:trHeight w:val="28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7160" w:type="dxa"/>
            <w:vAlign w:val="bottom"/>
          </w:tcPr>
          <w:p>
            <w:pPr>
              <w:spacing w:after="0"/>
              <w:rPr>
                <w:sz w:val="24"/>
                <w:szCs w:val="24"/>
                <w:color w:val="auto"/>
              </w:rPr>
            </w:pPr>
          </w:p>
        </w:tc>
      </w:tr>
      <w:tr>
        <w:trPr>
          <w:trHeight w:val="326"/>
        </w:trPr>
        <w:tc>
          <w:tcPr>
            <w:tcW w:w="17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Conversion Date:</w:t>
            </w:r>
          </w:p>
        </w:tc>
        <w:tc>
          <w:tcPr>
            <w:tcW w:w="1680" w:type="dxa"/>
            <w:vAlign w:val="bottom"/>
          </w:tcPr>
          <w:p>
            <w:pPr>
              <w:spacing w:after="0"/>
              <w:rPr>
                <w:sz w:val="24"/>
                <w:szCs w:val="24"/>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With respect to any conversion of a Convertible Note, the date on which the</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“Holder” (as such term is defined in the Indenture) of such Convertible Note</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satisfies all of the requirements for conversion thereof as set forth in</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Section 14.02(b) of the Indenture. With the exception of Options exercised under</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“Automatic Exercise of Remaining Repurchase Options After Free Convertibility</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Date” below, Options may only be exercised hereunder on a Conversion Date in</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respect of the Convertible Notes and only in an amount equal to the number of</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USD 1,000 principal amount of Convertible Notes converted on such Conversion</w:t>
            </w:r>
          </w:p>
        </w:tc>
      </w:tr>
      <w:tr>
        <w:trPr>
          <w:trHeight w:val="234"/>
        </w:trPr>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Free Convertibility Date: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January 15, [2030]</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[2032]</w:t>
            </w:r>
            <w:r>
              <w:rPr>
                <w:rFonts w:ascii="Times New Roman" w:cs="Times New Roman" w:eastAsia="Times New Roman" w:hAnsi="Times New Roman"/>
                <w:sz w:val="26"/>
                <w:szCs w:val="26"/>
                <w:color w:val="auto"/>
                <w:vertAlign w:val="superscript"/>
              </w:rPr>
              <w:t>12</w:t>
            </w:r>
          </w:p>
        </w:tc>
      </w:tr>
      <w:tr>
        <w:trPr>
          <w:trHeight w:val="23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Time: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414"/>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May 15, [2030]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[2032]</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subject to earlier exercise.</w:t>
            </w:r>
          </w:p>
        </w:tc>
      </w:tr>
      <w:tr>
        <w:trPr>
          <w:trHeight w:val="216"/>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Multiple Exercise: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Applicable, as described under “Automatic Exercise” and “Automatic Exercise of</w:t>
            </w:r>
          </w:p>
        </w:tc>
      </w:tr>
      <w:tr>
        <w:trPr>
          <w:trHeight w:val="234"/>
        </w:trPr>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Remaining Repurchase Options After Free Convertibility Date” below.</w:t>
            </w:r>
          </w:p>
        </w:tc>
      </w:tr>
      <w:tr>
        <w:trPr>
          <w:trHeight w:val="306"/>
        </w:trPr>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Automatic Exercise:</w:t>
            </w: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Notwithstanding Section 3.4 of the Equity Definitions and subject to Section 9(i)</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(iii), on each Conversion Date, a number of Options equal to [(i)] the number of</w:t>
            </w:r>
          </w:p>
        </w:tc>
      </w:tr>
      <w:tr>
        <w:trPr>
          <w:trHeight w:val="214"/>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Convertible Notes in denominations of USD 1,000 as to which such Conversion</w:t>
            </w:r>
          </w:p>
        </w:tc>
      </w:tr>
      <w:tr>
        <w:trPr>
          <w:trHeight w:val="218"/>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 are or are deemed to be</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automatically exercised on such Conversion Date under the Base Call Option</w:t>
            </w:r>
          </w:p>
        </w:tc>
      </w:tr>
      <w:tr>
        <w:trPr>
          <w:trHeight w:val="212"/>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Transaction Confirmation letter agreement dated May [__], 2026 between Dealer</w:t>
            </w:r>
          </w:p>
        </w:tc>
      </w:tr>
      <w:tr>
        <w:trPr>
          <w:trHeight w:val="218"/>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line="217" w:lineRule="exact"/>
              <w:rPr>
                <w:sz w:val="20"/>
                <w:szCs w:val="20"/>
                <w:color w:val="auto"/>
              </w:rPr>
            </w:pPr>
            <w:r>
              <w:rPr>
                <w:rFonts w:ascii="Times New Roman" w:cs="Times New Roman" w:eastAsia="Times New Roman" w:hAnsi="Times New Roman"/>
                <w:sz w:val="17"/>
                <w:szCs w:val="17"/>
                <w:color w:val="auto"/>
              </w:rPr>
              <w:t>and Counterparty (the “</w:t>
            </w:r>
            <w:r>
              <w:rPr>
                <w:rFonts w:ascii="Times New Roman" w:cs="Times New Roman" w:eastAsia="Times New Roman" w:hAnsi="Times New Roman"/>
                <w:sz w:val="17"/>
                <w:szCs w:val="17"/>
                <w:b w:val="1"/>
                <w:bCs w:val="1"/>
                <w:color w:val="auto"/>
              </w:rPr>
              <w:t>Base Call Option Confirmation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17"/>
                <w:szCs w:val="17"/>
                <w:color w:val="auto"/>
              </w:rPr>
              <w:t xml:space="preserve"> shall be deemed to</w:t>
            </w:r>
          </w:p>
        </w:tc>
      </w:tr>
      <w:tr>
        <w:trPr>
          <w:trHeight w:val="218"/>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xml:space="preserve">be automatically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Options shall be exercised or</w:t>
            </w:r>
          </w:p>
        </w:tc>
      </w:tr>
      <w:tr>
        <w:trPr>
          <w:trHeight w:val="216"/>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deemed exercised only if Counterparty has provided a Notice of Exercise to</w:t>
            </w:r>
          </w:p>
        </w:tc>
      </w:tr>
      <w:tr>
        <w:trPr>
          <w:trHeight w:val="234"/>
        </w:trPr>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Dealer in accordance with “Notice of Exercise”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0" w:hanging="424"/>
        <w:spacing w:after="0" w:line="208" w:lineRule="auto"/>
        <w:tabs>
          <w:tab w:leader="none" w:pos="424" w:val="left"/>
        </w:tabs>
        <w:numPr>
          <w:ilvl w:val="0"/>
          <w:numId w:val="1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Base Call Option Confirmation, to be the closing date of the initial issuance of the Convertible Notes. For the Additional Call Option Confirmation, to be the closing date of the Convertible Notes issued pursuant to the option to purchase additional Convertible Notes.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19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4-year tranche.</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1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6-year tranche.</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1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4-year tranche.</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1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6-year tranche.</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1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 only.</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229" w:name="page230"/>
    <w:bookmarkEnd w:id="229"/>
    <w:p>
      <w:pPr>
        <w:spacing w:after="0" w:line="200" w:lineRule="exact"/>
        <w:rPr>
          <w:sz w:val="20"/>
          <w:szCs w:val="20"/>
          <w:color w:val="auto"/>
        </w:rPr>
      </w:pPr>
    </w:p>
    <w:p>
      <w:pPr>
        <w:spacing w:after="0" w:line="340" w:lineRule="exact"/>
        <w:rPr>
          <w:sz w:val="20"/>
          <w:szCs w:val="20"/>
          <w:color w:val="auto"/>
        </w:rPr>
      </w:pPr>
    </w:p>
    <w:p>
      <w:pPr>
        <w:ind w:left="724"/>
        <w:spacing w:after="0" w:line="282" w:lineRule="auto"/>
        <w:rPr>
          <w:sz w:val="20"/>
          <w:szCs w:val="20"/>
          <w:color w:val="auto"/>
        </w:rPr>
      </w:pPr>
      <w:r>
        <w:rPr>
          <w:rFonts w:ascii="Times New Roman" w:cs="Times New Roman" w:eastAsia="Times New Roman" w:hAnsi="Times New Roman"/>
          <w:sz w:val="18"/>
          <w:szCs w:val="18"/>
          <w:color w:val="auto"/>
        </w:rPr>
        <w:t>Automatic Exercise of Remaining Repurchase Options After Free Convertibility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523240</wp:posOffset>
            </wp:positionV>
            <wp:extent cx="7715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4" w:hanging="424"/>
        <w:spacing w:after="0"/>
        <w:tabs>
          <w:tab w:leader="none" w:pos="424" w:val="left"/>
        </w:tabs>
        <w:numPr>
          <w:ilvl w:val="0"/>
          <w:numId w:val="1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Additional Call Option Confirmation only.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9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for Additional Call Option Confirmation only.</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 exercised hereunder exceed the 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-391160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Remaining Options (as defined in the Base Call Option Confirmation)]</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7"/>
          <w:szCs w:val="17"/>
          <w:color w:val="auto"/>
        </w:rPr>
        <w:t xml:space="preserve"> (such lesser number, the “</w:t>
      </w:r>
      <w:r>
        <w:rPr>
          <w:rFonts w:ascii="Times New Roman" w:cs="Times New Roman" w:eastAsia="Times New Roman" w:hAnsi="Times New Roman"/>
          <w:sz w:val="17"/>
          <w:szCs w:val="17"/>
          <w:b w:val="1"/>
          <w:bCs w:val="1"/>
          <w:color w:val="auto"/>
        </w:rPr>
        <w:t>Remaining Options</w:t>
      </w:r>
      <w:r>
        <w:rPr>
          <w:rFonts w:ascii="Times New Roman" w:cs="Times New Roman" w:eastAsia="Times New Roman" w:hAnsi="Times New Roman"/>
          <w:sz w:val="17"/>
          <w:szCs w:val="17"/>
          <w:color w:val="auto"/>
        </w:rPr>
        <w:t xml:space="preserve">”) will be deemed to be automatically exercised as if (i) a number of Convertible Notes (in denominations of USD 1,000 principal amount) equal to such number of Remaining Options were converted with a “Conversion Date” (as defined in the Indenture) occurring on or after the Free Convertibility Date and (ii) the Relevant Settlement Method applied to such Convertible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7"/>
          <w:szCs w:val="17"/>
          <w:b w:val="1"/>
          <w:bCs w:val="1"/>
          <w:color w:val="auto"/>
        </w:rPr>
        <w:t>Remaining Repurchase Options</w:t>
      </w:r>
      <w:r>
        <w:rPr>
          <w:rFonts w:ascii="Times New Roman" w:cs="Times New Roman" w:eastAsia="Times New Roman" w:hAnsi="Times New Roman"/>
          <w:sz w:val="17"/>
          <w:szCs w:val="17"/>
          <w:color w:val="auto"/>
        </w:rPr>
        <w:t>” shall mean the excess of (I) the aggregate number of Convertible Notes (in denominations of USD 1,000 principal amount) that were repurchased and cancelled under clause (y) of Section 9(i)(ii) (“</w:t>
      </w:r>
      <w:r>
        <w:rPr>
          <w:rFonts w:ascii="Times New Roman" w:cs="Times New Roman" w:eastAsia="Times New Roman" w:hAnsi="Times New Roman"/>
          <w:sz w:val="17"/>
          <w:szCs w:val="17"/>
          <w:b w:val="1"/>
          <w:bCs w:val="1"/>
          <w:color w:val="auto"/>
        </w:rPr>
        <w:t>Repurchase Events</w:t>
      </w:r>
      <w:r>
        <w:rPr>
          <w:rFonts w:ascii="Times New Roman" w:cs="Times New Roman" w:eastAsia="Times New Roman" w:hAnsi="Times New Roman"/>
          <w:sz w:val="17"/>
          <w:szCs w:val="17"/>
          <w:color w:val="auto"/>
        </w:rPr>
        <w:t xml:space="preserve">”) during the term of the Transaction </w:t>
      </w:r>
      <w:r>
        <w:rPr>
          <w:rFonts w:ascii="Times New Roman" w:cs="Times New Roman" w:eastAsia="Times New Roman" w:hAnsi="Times New Roman"/>
          <w:sz w:val="17"/>
          <w:szCs w:val="17"/>
          <w:i w:val="1"/>
          <w:iCs w:val="1"/>
          <w:color w:val="auto"/>
        </w:rPr>
        <w:t>over</w:t>
      </w:r>
      <w:r>
        <w:rPr>
          <w:rFonts w:ascii="Times New Roman" w:cs="Times New Roman" w:eastAsia="Times New Roman" w:hAnsi="Times New Roman"/>
          <w:sz w:val="17"/>
          <w:szCs w:val="17"/>
          <w:color w:val="auto"/>
        </w:rPr>
        <w:t xml:space="preserve"> (II) the aggregate number of Repurchase Options (as defined below) that were terminated hereunder relating to Repurchase Events during the term of the Transaction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Repurchase Options (as defined in the Base Call Option Confirmation) terminated under the Base Call Option Confirmation relating to Repurchase Events (as defined therein) during the term of the “Transaction” under the Base Call Option Confirmation]</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17"/>
          <w:szCs w:val="17"/>
          <w:color w:val="auto"/>
        </w:rPr>
        <w:t>. Counterparty shall notify Dealer in writing of the number of Remaining Repurchase Options before 5:00 p.m. (New York City time) on the Scheduled Valid Day immediately preceding the Expiration Date.</w:t>
      </w:r>
    </w:p>
    <w:p>
      <w:pPr>
        <w:spacing w:after="0" w:line="31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or under “Automatic Exercise” above, but subject to “Automatic Exercise of Remaining Repurchase Options After Free Convertibility Date”, in order to exercise any Options on any Conversion Date,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4664" w:space="420"/>
            <w:col w:w="5920"/>
          </w:cols>
          <w:pgMar w:left="436" w:top="270" w:right="459" w:bottom="1440" w:gutter="0" w:footer="0" w:header="0"/>
        </w:sectPr>
      </w:pPr>
    </w:p>
    <w:bookmarkStart w:id="230" w:name="page231"/>
    <w:bookmarkEnd w:id="230"/>
    <w:p>
      <w:pPr>
        <w:ind w:left="4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Counterparty must notify Dealer in writing before 5:00 p.m. (New York City</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time) on the Scheduled Valid Day immediately preceding the scheduled first day</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of the Settlement Averaging Period for the Options being exercised of (i) the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number of such Options (and the number of USD 1,000 principal amount of Notes</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being converted on such Conversion Date), (ii) the scheduled first day of the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Settlement Averaging Period (the “</w:t>
      </w:r>
      <w:r>
        <w:rPr>
          <w:rFonts w:ascii="Times New Roman" w:cs="Times New Roman" w:eastAsia="Times New Roman" w:hAnsi="Times New Roman"/>
          <w:sz w:val="18"/>
          <w:szCs w:val="18"/>
          <w:b w:val="1"/>
          <w:bCs w:val="1"/>
          <w:color w:val="auto"/>
        </w:rPr>
        <w:t>SAP Notice Deadline</w:t>
      </w:r>
      <w:r>
        <w:rPr>
          <w:rFonts w:ascii="Times New Roman" w:cs="Times New Roman" w:eastAsia="Times New Roman" w:hAnsi="Times New Roman"/>
          <w:sz w:val="18"/>
          <w:szCs w:val="18"/>
          <w:color w:val="auto"/>
        </w:rPr>
        <w:t>”) and the scheduled</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Settlement Date and (iii) if Counterparty elects a Settlement Method for such</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Options other than Net Share Settlement, such notice shall also include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xml:space="preserve">information required pursuant to “Settlement Method Election” below;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that in respect of any Options relating to Convertible Notes with a Conversion</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Date occurring on or after the Free Convertibility Date, (A) such notice may be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given at any time before 5:00 p.m. (New York City time) on the Scheduled Valid</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Day immediately preceding the Expiration Date (such time, together with the SAP</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Notice Deadline, the “</w:t>
      </w:r>
      <w:r>
        <w:rPr>
          <w:rFonts w:ascii="Times New Roman" w:cs="Times New Roman" w:eastAsia="Times New Roman" w:hAnsi="Times New Roman"/>
          <w:sz w:val="18"/>
          <w:szCs w:val="18"/>
          <w:b w:val="1"/>
          <w:bCs w:val="1"/>
          <w:color w:val="auto"/>
        </w:rPr>
        <w:t>Notice Deadline</w:t>
      </w:r>
      <w:r>
        <w:rPr>
          <w:rFonts w:ascii="Times New Roman" w:cs="Times New Roman" w:eastAsia="Times New Roman" w:hAnsi="Times New Roman"/>
          <w:sz w:val="18"/>
          <w:szCs w:val="18"/>
          <w:color w:val="auto"/>
        </w:rPr>
        <w:t>”) and need only specify the information</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required in clause (i) above, and (B) if the Settlement Method for such Options is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not Net Share Settlement, Dealer shall have received a separate notice (the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Final Settlement Method</w:t>
      </w:r>
      <w:r>
        <w:rPr>
          <w:rFonts w:ascii="Times New Roman" w:cs="Times New Roman" w:eastAsia="Times New Roman" w:hAnsi="Times New Roman"/>
          <w:sz w:val="18"/>
          <w:szCs w:val="18"/>
          <w:color w:val="auto"/>
        </w:rPr>
        <w:t>”) in respect of all such Convertible Notes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before 5:00 p.m. (New York City time) on the Free Convertibility Date specifying</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xml:space="preserve">the information required in clause (iii) above;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notwithstanding the foregoing, such notice (and the related exercise of Options)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shall be effective if given after the Notice Deadline but prior to 5:00 p.m. (New</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York City time) on the fifth Scheduled Valid Day following the Notice Deadline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and, in respect of any Options in respect of which such notice is delivered after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the relevant Notice Deadline, the Calculation Agent shall have the right to adjust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the amount of cash payable and/or the number of Shares deliverable by Dealer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with respect to such Options in a commercially reasonable manner as appropriate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to reflect the additional costs (including, but not limited to, hedging mismatches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and market losses) and expenses incurred by Dealer in connection with its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hedging activities (including the unwinding of any hedge position) as a result of</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Dealer not having received such notice on or prior to the Notice Deadline (it being</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understood that the adjusted delivery obligation described in the preceding</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proviso can never be less than zero and can never require any payment by</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Counterparty).</w:t>
      </w:r>
    </w:p>
    <w:p>
      <w:pPr>
        <w:sectPr>
          <w:pgSz w:w="11900" w:h="16838" w:orient="portrait"/>
          <w:cols w:equalWidth="0" w:num="1">
            <w:col w:w="10280"/>
          </w:cols>
          <w:pgMar w:left="1160" w:top="270" w:right="45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Time: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its reasonable discretion.</w:t>
      </w:r>
    </w:p>
    <w:p>
      <w:pPr>
        <w:spacing w:after="0" w:line="67"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 following:</w:t>
      </w:r>
    </w:p>
    <w:p>
      <w:pPr>
        <w:spacing w:after="0" w:line="94"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80"/>
          </w:cols>
          <w:pgMar w:left="1160" w:top="270" w:right="459" w:bottom="1440" w:gutter="0" w:footer="0" w:header="0"/>
          <w:type w:val="continuous"/>
        </w:sectPr>
      </w:pPr>
    </w:p>
    <w:bookmarkStart w:id="231" w:name="page232"/>
    <w:bookmarkEnd w:id="231"/>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“‘Market Disruption Event’ means (i) a failure by the primary U.S.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national or regional securities exchange or market on which the Shares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are listed or admitted for trading to open for trading during its regular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trading session or (ii) the occurrence or existence prior to 1:00 p.m.,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New York City time, on any Scheduled Valid Day for the Shares for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more than one half-hour period in the aggregate during regular trading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hours of any suspension or limitation imposed on trading (by reason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movements in price exceeding limits permitted by the relevant securities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exchange or otherwise) in the Shares or in any options contracts or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futures contracts relating to the Shares.”</w:t>
            </w:r>
          </w:p>
        </w:tc>
        <w:tc>
          <w:tcPr>
            <w:tcW w:w="0" w:type="dxa"/>
            <w:vAlign w:val="bottom"/>
          </w:tcPr>
          <w:p>
            <w:pPr>
              <w:spacing w:after="0"/>
              <w:rPr>
                <w:sz w:val="1"/>
                <w:szCs w:val="1"/>
                <w:color w:val="auto"/>
              </w:rPr>
            </w:pPr>
          </w:p>
        </w:tc>
      </w:tr>
      <w:tr>
        <w:trPr>
          <w:trHeight w:val="28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r>
              <w:rPr>
                <w:rFonts w:ascii="Times New Roman" w:cs="Times New Roman" w:eastAsia="Times New Roman" w:hAnsi="Times New Roman"/>
                <w:sz w:val="18"/>
                <w:szCs w:val="18"/>
                <w:color w:val="auto"/>
              </w:rPr>
              <w:t>.</w:t>
            </w: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8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w:t>
            </w:r>
          </w:p>
        </w:tc>
        <w:tc>
          <w:tcPr>
            <w:tcW w:w="0" w:type="dxa"/>
            <w:vAlign w:val="bottom"/>
          </w:tcPr>
          <w:p>
            <w:pPr>
              <w:spacing w:after="0" w:line="20" w:lineRule="exact"/>
              <w:rPr>
                <w:sz w:val="1"/>
                <w:szCs w:val="1"/>
                <w:color w:val="auto"/>
              </w:rPr>
            </w:pPr>
          </w:p>
        </w:tc>
      </w:tr>
      <w:tr>
        <w:trPr>
          <w:trHeight w:val="32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w:t>
            </w:r>
          </w:p>
        </w:tc>
        <w:tc>
          <w:tcPr>
            <w:tcW w:w="6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elect Cash Settlement or Combination Settlement for such Option if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Counterparty shall have notified Dealer of the Settlement Method in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Notice of Exercise or Notice of Final Settlement Method, as applicable,</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for such Option in accordance with “Settlement Method Election”</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xml:space="preserve">below;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Counterparty has not elected to settle all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or any portion of its conversion obligations in respect of the related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Convertible Notes in excess of the principal amount of such Convertible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Notes in cash pursuant to Section 14.02(a)(ii) of the Indenture, then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relevant Settlement Method for such Option shall be Net Share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Settlement. Counterparty acknowledges its responsibilities under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applicable securities laws, and in particular Section 9 and Section 10(b)</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of the Securities Exchange Act of 1934, as amended (the “</w:t>
            </w:r>
            <w:r>
              <w:rPr>
                <w:rFonts w:ascii="Times New Roman" w:cs="Times New Roman" w:eastAsia="Times New Roman" w:hAnsi="Times New Roman"/>
                <w:sz w:val="18"/>
                <w:szCs w:val="18"/>
                <w:b w:val="1"/>
                <w:bCs w:val="1"/>
                <w:color w:val="auto"/>
              </w:rPr>
              <w:t>Exchange</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w w:val="99"/>
              </w:rPr>
              <w:t>Act</w:t>
            </w:r>
            <w:r>
              <w:rPr>
                <w:rFonts w:ascii="Times New Roman" w:cs="Times New Roman" w:eastAsia="Times New Roman" w:hAnsi="Times New Roman"/>
                <w:sz w:val="18"/>
                <w:szCs w:val="18"/>
                <w:color w:val="auto"/>
                <w:w w:val="99"/>
              </w:rPr>
              <w:t>”), and the rules and regulations thereunder, in respect of any election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of a Settlement Method that is not Net Share Settlement.</w:t>
            </w:r>
          </w:p>
        </w:tc>
        <w:tc>
          <w:tcPr>
            <w:tcW w:w="0" w:type="dxa"/>
            <w:vAlign w:val="bottom"/>
          </w:tcPr>
          <w:p>
            <w:pPr>
              <w:spacing w:after="0"/>
              <w:rPr>
                <w:sz w:val="1"/>
                <w:szCs w:val="1"/>
                <w:color w:val="auto"/>
              </w:rPr>
            </w:pPr>
          </w:p>
        </w:tc>
      </w:tr>
      <w:tr>
        <w:trPr>
          <w:trHeight w:val="30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In order to elect a Settlement Method other than Net Share Settlement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for any Option, the Notice of Exercise or Notice of Final Settlement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Method, as applicable, shall contain:</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 Counterparty’s election of such other Settlement Method for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related Convertible Notes which shall correspond to Counterparty’s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election under the Indenture of whether it elects to settle its conversion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obligations in respect of the related Convertible Notes in excess of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principal amount of the related Convertible Notes:</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 in a combination of cash and Shares pursuant to Section 14.02(a)(ii)</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of the Indenture with a Specified Option Cash Percentage (as defined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below) of less than 100% but greater than 0%, in which case such other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Settlement Method shall be Combination Settlement; or</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 entirely in cash pursuant to Section 14.02(a)(ii) of the Indenture, in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which case such other Settlement Method shall be Cash Settlement; and</w:t>
            </w:r>
          </w:p>
        </w:tc>
        <w:tc>
          <w:tcPr>
            <w:tcW w:w="0" w:type="dxa"/>
            <w:vAlign w:val="bottom"/>
          </w:tcPr>
          <w:p>
            <w:pPr>
              <w:spacing w:after="0"/>
              <w:rPr>
                <w:sz w:val="1"/>
                <w:szCs w:val="1"/>
                <w:color w:val="auto"/>
              </w:rPr>
            </w:pPr>
          </w:p>
        </w:tc>
      </w:tr>
      <w:tr>
        <w:trPr>
          <w:trHeight w:val="364"/>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40"/>
          </w:cols>
          <w:pgMar w:left="80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2" w:name="page233"/>
    <w:bookmarkEnd w:id="232"/>
    <w:p>
      <w:pPr>
        <w:ind w:left="436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if such other Settlement Method is Combination Settlement, the fixed percentage of the consideration (pursuant to Counterparty having elected such fixed percentage as the “Cash Percentage” (as defined in the Indenture) in accordance with Section 14.02(a)(ii) of the Indenture) due upon conversion per Convertible Note in excess of the principal amount thereof that Counterparty has elected, pursuant to Section 14.02(a)(ii) of the Indenture to pay to “Holders” (as defined in the Indenture) in cash in settlement of the conversion of each related Convertible Note (the “</w:t>
      </w:r>
      <w:r>
        <w:rPr>
          <w:rFonts w:ascii="Times New Roman" w:cs="Times New Roman" w:eastAsia="Times New Roman" w:hAnsi="Times New Roman"/>
          <w:sz w:val="18"/>
          <w:szCs w:val="18"/>
          <w:b w:val="1"/>
          <w:bCs w:val="1"/>
          <w:color w:val="auto"/>
        </w:rPr>
        <w:t>Specified Option Cash Percentage</w:t>
      </w:r>
      <w:r>
        <w:rPr>
          <w:rFonts w:ascii="Times New Roman" w:cs="Times New Roman" w:eastAsia="Times New Roman" w:hAnsi="Times New Roman"/>
          <w:sz w:val="18"/>
          <w:szCs w:val="18"/>
          <w:color w:val="auto"/>
        </w:rPr>
        <w:t>”).</w:t>
      </w:r>
    </w:p>
    <w:p>
      <w:pPr>
        <w:sectPr>
          <w:pgSz w:w="11900" w:h="16838" w:orient="portrait"/>
          <w:cols w:equalWidth="0" w:num="1">
            <w:col w:w="10280"/>
          </w:cols>
          <w:pgMar w:left="1160" w:top="378" w:right="45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Net Share Settlement Amount for any Option exceed a number of Shares equal to the Applicable Limit for such Option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Applicable Limit Price on the Settlement Date for such Option.</w:t>
      </w:r>
    </w:p>
    <w:p>
      <w:pPr>
        <w:spacing w:after="0" w:line="86"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ind w:left="4360" w:right="4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280"/>
          </w:cols>
          <w:pgMar w:left="1160" w:top="378"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64"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ind w:left="4360"/>
        <w:spacing w:after="0" w:line="255" w:lineRule="auto"/>
        <w:rPr>
          <w:sz w:val="20"/>
          <w:szCs w:val="20"/>
          <w:color w:val="auto"/>
        </w:rPr>
      </w:pPr>
      <w:r>
        <w:rPr>
          <w:rFonts w:ascii="Times New Roman" w:cs="Times New Roman" w:eastAsia="Times New Roman" w:hAnsi="Times New Roman"/>
          <w:sz w:val="18"/>
          <w:szCs w:val="18"/>
          <w:color w:val="auto"/>
        </w:rPr>
        <w:t>(i) an amount of 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 the Settlement Averaging Period for such Option, of (A) an amount (the “</w:t>
      </w:r>
      <w:r>
        <w:rPr>
          <w:rFonts w:ascii="Times New Roman" w:cs="Times New Roman" w:eastAsia="Times New Roman" w:hAnsi="Times New Roman"/>
          <w:sz w:val="18"/>
          <w:szCs w:val="18"/>
          <w:b w:val="1"/>
          <w:bCs w:val="1"/>
          <w:color w:val="auto"/>
        </w:rPr>
        <w:t>Daily Combination Settlement Cash Amount</w:t>
      </w:r>
      <w:r>
        <w:rPr>
          <w:rFonts w:ascii="Times New Roman" w:cs="Times New Roman" w:eastAsia="Times New Roman" w:hAnsi="Times New Roman"/>
          <w:sz w:val="18"/>
          <w:szCs w:val="18"/>
          <w:color w:val="auto"/>
        </w:rPr>
        <w:t xml:space="preserve">”) equal to the product of (1) the Specified Option Cash Percentage and (2) the Daily Option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77" w:lineRule="exact"/>
        <w:rPr>
          <w:sz w:val="20"/>
          <w:szCs w:val="20"/>
          <w:color w:val="auto"/>
        </w:rPr>
      </w:pPr>
    </w:p>
    <w:p>
      <w:pPr>
        <w:ind w:left="4360" w:right="20"/>
        <w:spacing w:after="0" w:line="262" w:lineRule="auto"/>
        <w:rPr>
          <w:sz w:val="20"/>
          <w:szCs w:val="20"/>
          <w:color w:val="auto"/>
        </w:rPr>
      </w:pPr>
      <w:r>
        <w:rPr>
          <w:rFonts w:ascii="Times New Roman" w:cs="Times New Roman" w:eastAsia="Times New Roman" w:hAnsi="Times New Roman"/>
          <w:sz w:val="18"/>
          <w:szCs w:val="18"/>
          <w:color w:val="auto"/>
        </w:rPr>
        <w:t>(ii) a number of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8"/>
          <w:szCs w:val="18"/>
          <w:b w:val="1"/>
          <w:bCs w:val="1"/>
          <w:color w:val="auto"/>
        </w:rPr>
        <w:t>Daily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Share Amount</w:t>
      </w:r>
      <w:r>
        <w:rPr>
          <w:rFonts w:ascii="Times New Roman" w:cs="Times New Roman" w:eastAsia="Times New Roman" w:hAnsi="Times New Roman"/>
          <w:sz w:val="18"/>
          <w:szCs w:val="18"/>
          <w:color w:val="auto"/>
        </w:rPr>
        <w:t>”) equal to (A)</w:t>
      </w:r>
    </w:p>
    <w:p>
      <w:pPr>
        <w:spacing w:after="0" w:line="1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80"/>
          </w:cols>
          <w:pgMar w:left="1160" w:top="378" w:right="459" w:bottom="1440" w:gutter="0" w:footer="0" w:header="0"/>
          <w:type w:val="continuous"/>
        </w:sectPr>
      </w:pPr>
    </w:p>
    <w:bookmarkStart w:id="233" w:name="page234"/>
    <w:bookmarkEnd w:id="233"/>
    <w:p>
      <w:pPr>
        <w:ind w:left="43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 the Daily Option Value on 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 (A)(1) above results in zero or a negative number for any Valid Day, the Daily Combination Settlement Share Amount for such Valid Day shall be deemed to be zero;</w:t>
      </w:r>
    </w:p>
    <w:p>
      <w:pPr>
        <w:spacing w:after="0" w:line="74" w:lineRule="exact"/>
        <w:rPr>
          <w:sz w:val="20"/>
          <w:szCs w:val="20"/>
          <w:color w:val="auto"/>
        </w:rPr>
      </w:pPr>
    </w:p>
    <w:p>
      <w:pPr>
        <w:jc w:val="both"/>
        <w:ind w:left="436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no event shall the sum of (x) the Combination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Amount for any Option and (y) the Combination Settlement Share Amount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exceed the Applicable Limit for such Option.</w:t>
      </w:r>
    </w:p>
    <w:p>
      <w:pPr>
        <w:spacing w:after="0" w:line="74" w:lineRule="exact"/>
        <w:rPr>
          <w:sz w:val="20"/>
          <w:szCs w:val="20"/>
          <w:color w:val="auto"/>
        </w:rPr>
      </w:pPr>
    </w:p>
    <w:p>
      <w:pPr>
        <w:ind w:left="436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ectPr>
          <w:pgSz w:w="11900" w:h="16838" w:orient="portrait"/>
          <w:cols w:equalWidth="0" w:num="1">
            <w:col w:w="10260"/>
          </w:cols>
          <w:pgMar w:left="1160" w:top="376"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exceed the Applicable Limit for such Option.</w:t>
      </w:r>
    </w:p>
    <w:p>
      <w:pPr>
        <w:spacing w:after="0" w:line="84" w:lineRule="exact"/>
        <w:rPr>
          <w:sz w:val="20"/>
          <w:szCs w:val="20"/>
          <w:color w:val="auto"/>
        </w:rPr>
      </w:pPr>
    </w:p>
    <w:p>
      <w:pPr>
        <w:sectPr>
          <w:pgSz w:w="11900" w:h="16838" w:orient="portrait"/>
          <w:cols w:equalWidth="0" w:num="2">
            <w:col w:w="3640" w:space="720"/>
            <w:col w:w="5900"/>
          </w:cols>
          <w:pgMar w:left="1160" w:top="37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jc w:val="both"/>
        <w:ind w:right="120"/>
        <w:spacing w:after="0" w:line="277" w:lineRule="auto"/>
        <w:rPr>
          <w:sz w:val="20"/>
          <w:szCs w:val="20"/>
          <w:color w:val="auto"/>
        </w:rPr>
      </w:pPr>
      <w:r>
        <w:rPr>
          <w:rFonts w:ascii="Times New Roman" w:cs="Times New Roman" w:eastAsia="Times New Roman" w:hAnsi="Times New Roman"/>
          <w:sz w:val="17"/>
          <w:szCs w:val="17"/>
          <w:color w:val="auto"/>
        </w:rPr>
        <w:t xml:space="preserve">For any Valid Day, an amount equal to (i) the Option Entitlement on such Valid Day,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Relevant Price on such Valid Day less the Strike Price on such Valid Day;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58" w:lineRule="exact"/>
        <w:rPr>
          <w:sz w:val="20"/>
          <w:szCs w:val="20"/>
          <w:color w:val="auto"/>
        </w:rPr>
      </w:pPr>
    </w:p>
    <w:p>
      <w:pPr>
        <w:sectPr>
          <w:pgSz w:w="11900" w:h="16838" w:orient="portrait"/>
          <w:cols w:equalWidth="0" w:num="2">
            <w:col w:w="3640" w:space="720"/>
            <w:col w:w="5900"/>
          </w:cols>
          <w:pgMar w:left="1160" w:top="376"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Limit:</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For any Option, an amount of cash equal to the Applicable Percentage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excess of (i) the aggregate of (A) the amount of cash paid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defined in the Indenture) of the related Convertible Note upon conversion of such Convertible Note and (B) the number of Shares, if any, delivered to the “Holder” (as defined in the Indenture) of the related Convertible Note upon conversion of such Convertible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over (ii) the Synthetic Instrument Adjusted Issue Price (determined by the Calculation Agent pursuant to the provisions set forth in Section 9(i)(iii) as if the Settlement Date for such Option were the Unwind Date).</w:t>
      </w:r>
    </w:p>
    <w:p>
      <w:pPr>
        <w:spacing w:after="0" w:line="120" w:lineRule="exact"/>
        <w:rPr>
          <w:sz w:val="20"/>
          <w:szCs w:val="20"/>
          <w:color w:val="auto"/>
        </w:rPr>
      </w:pPr>
    </w:p>
    <w:p>
      <w:pPr>
        <w:sectPr>
          <w:pgSz w:w="11900" w:h="16838" w:orient="portrait"/>
          <w:cols w:equalWidth="0" w:num="2">
            <w:col w:w="3640" w:space="720"/>
            <w:col w:w="5900"/>
          </w:cols>
          <w:pgMar w:left="1160" w:top="376" w:right="47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260"/>
          </w:cols>
          <w:pgMar w:left="1160" w:top="376" w:right="47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color w:val="auto"/>
        </w:rPr>
        <w:t>Applicable Limit Price:</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On any day, the opening price as displayed under the heading “Op” on Bloomberg page “AKAM &lt;equity&gt;” (or its equivalent successor if such page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-587375</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640" w:space="720"/>
            <w:col w:w="5920"/>
          </w:cols>
          <w:pgMar w:left="116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Exchange or, if the Shares are not then listed on the Exchange, on the principal other U.S. national or regional securities exchange on which the Shares are then listed or, if the Shares are not then listed on a U.S. national or regional securities exchange, on the principal other market on which the Shares are then listed or admitted for trading. If the Shares are not so listed or admitted for trading, “Valid Day” means a Business Day.</w:t>
      </w:r>
    </w:p>
    <w:p>
      <w:pPr>
        <w:spacing w:after="0" w:line="81"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A day that is scheduled to be a Valid Day on the principal U.S. national or regional securities exchange or market on which the Shares are listed or admitted for trading. If the Shares are not so listed or admitted for trading, “Scheduled Valid Day” means a Business Day.</w:t>
      </w:r>
    </w:p>
    <w:p>
      <w:pPr>
        <w:spacing w:after="0" w:line="72"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Any day other than a Saturday, a Sunday or a day on which the Federal Reserve Bank of New York is authorized or required by law or executive order to close or be closed.</w:t>
      </w:r>
    </w:p>
    <w:p>
      <w:pPr>
        <w:spacing w:after="0" w:line="68"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Times New Roman" w:cs="Times New Roman" w:eastAsia="Times New Roman" w:hAnsi="Times New Roman"/>
          <w:sz w:val="17"/>
          <w:szCs w:val="17"/>
          <w:color w:val="auto"/>
        </w:rPr>
        <w:t>On any Valid Day, the per Share volume-weighted average price as displayed under the heading “Bloomberg VWAP” on Bloomberg page “AKAM &lt;equity&gt; AQR” (or its equivalent successor if such page is not available) in respect of the period from the scheduled opening time of the Exchange to the Scheduled Closing Time of the Exchange on such Valid Day (or, if such volume-weighted average price is unavailable at such time, the market value of one Share on such Valid Day determined by the Calculation Agent using a volume-weighted average method, if practicable). The Relevant Price will be determined without regard to after-hours trading or any other trading outside of the regular trading session trading hours.</w:t>
      </w:r>
    </w:p>
    <w:p>
      <w:pPr>
        <w:spacing w:after="0" w:line="65"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Averaging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any Option and regardless of the Settlement Method applicable to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99"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40" w:hanging="9"/>
        <w:spacing w:after="0" w:line="266" w:lineRule="auto"/>
        <w:rPr>
          <w:sz w:val="20"/>
          <w:szCs w:val="20"/>
          <w:color w:val="auto"/>
        </w:rPr>
      </w:pPr>
      <w:r>
        <w:rPr>
          <w:rFonts w:ascii="Times New Roman" w:cs="Times New Roman" w:eastAsia="Times New Roman" w:hAnsi="Times New Roman"/>
          <w:sz w:val="18"/>
          <w:szCs w:val="18"/>
          <w:color w:val="auto"/>
        </w:rPr>
        <w:t>if the related Conversion Date occurs prior to the Free Convertibility Date, the 20 consecutive Valid Day period beginning on, and including, the second Valid Day after such Conversion Date; or</w:t>
      </w:r>
    </w:p>
    <w:p>
      <w:pPr>
        <w:spacing w:after="0" w:line="68" w:lineRule="exact"/>
        <w:rPr>
          <w:sz w:val="20"/>
          <w:szCs w:val="20"/>
          <w:color w:val="auto"/>
        </w:rPr>
      </w:pPr>
    </w:p>
    <w:p>
      <w:pPr>
        <w:sectPr>
          <w:pgSz w:w="11900" w:h="16838" w:orient="portrait"/>
          <w:cols w:equalWidth="0" w:num="2">
            <w:col w:w="4560" w:space="160"/>
            <w:col w:w="5560"/>
          </w:cols>
          <w:pgMar w:left="1160" w:top="378" w:right="459" w:bottom="1440" w:gutter="0" w:footer="0" w:header="0"/>
          <w:type w:val="continuous"/>
        </w:sectPr>
      </w:pPr>
    </w:p>
    <w:p>
      <w:pPr>
        <w:ind w:left="4720" w:hanging="359"/>
        <w:spacing w:after="0" w:line="266" w:lineRule="auto"/>
        <w:rPr>
          <w:sz w:val="20"/>
          <w:szCs w:val="20"/>
          <w:color w:val="auto"/>
        </w:rPr>
      </w:pPr>
      <w:r>
        <w:rPr>
          <w:rFonts w:ascii="Times New Roman" w:cs="Times New Roman" w:eastAsia="Times New Roman" w:hAnsi="Times New Roman"/>
          <w:sz w:val="18"/>
          <w:szCs w:val="18"/>
          <w:color w:val="auto"/>
        </w:rPr>
        <w:t>(ii)   if the related Conversion Date occurs on or after the Free Convertibility Date, the 20 consecutive Valid Day period beginning on, and including, the 21st Scheduled Valid Day immediately preceding the Expiration Date.</w:t>
      </w:r>
    </w:p>
    <w:p>
      <w:pPr>
        <w:sectPr>
          <w:pgSz w:w="11900" w:h="16838" w:orient="portrait"/>
          <w:cols w:equalWidth="0" w:num="1">
            <w:col w:w="10280"/>
          </w:cols>
          <w:pgMar w:left="1160" w:top="378"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any Option, the second Business Day immediately following the last Valid Day of the Settlement Averaging Period for such Option.</w:t>
      </w:r>
    </w:p>
    <w:p>
      <w:pPr>
        <w:spacing w:after="0" w:line="94" w:lineRule="exact"/>
        <w:rPr>
          <w:sz w:val="20"/>
          <w:szCs w:val="20"/>
          <w:color w:val="auto"/>
        </w:rPr>
      </w:pPr>
    </w:p>
    <w:p>
      <w:pPr>
        <w:sectPr>
          <w:pgSz w:w="11900" w:h="16838" w:orient="portrait"/>
          <w:cols w:equalWidth="0" w:num="2">
            <w:col w:w="3640" w:space="720"/>
            <w:col w:w="5920"/>
          </w:cols>
          <w:pgMar w:left="1160" w:top="378" w:right="45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280"/>
          </w:cols>
          <w:pgMar w:left="1160" w:top="378" w:right="459" w:bottom="1440" w:gutter="0" w:footer="0" w:header="0"/>
          <w:type w:val="continuous"/>
        </w:sectPr>
      </w:pPr>
    </w:p>
    <w:bookmarkStart w:id="235" w:name="page236"/>
    <w:bookmarkEnd w:id="235"/>
    <w:p>
      <w:pPr>
        <w:ind w:left="720"/>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b w:val="1"/>
          <w:bCs w:val="1"/>
          <w:u w:val="single" w:color="auto"/>
          <w:color w:val="auto"/>
        </w:rPr>
        <w:t>Additional Terms applicable to the Transaction.</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Adjustments applicable to the Transaction: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Times New Roman" w:cs="Times New Roman" w:eastAsia="Times New Roman" w:hAnsi="Times New Roman"/>
          <w:sz w:val="18"/>
          <w:szCs w:val="18"/>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-281940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8" w:right="60"/>
        <w:spacing w:after="0" w:line="258"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75"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Equity Definitions (including, but not limited to, Section 9.11 thereof), the parties acknowledge that (i) any Shares delivered to Counterparty may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spacing w:after="0" w:line="267" w:lineRule="auto"/>
        <w:rPr>
          <w:sz w:val="20"/>
          <w:szCs w:val="20"/>
          <w:color w:val="auto"/>
        </w:rPr>
      </w:pPr>
      <w:r>
        <w:rPr>
          <w:rFonts w:ascii="Times New Roman" w:cs="Times New Roman" w:eastAsia="Times New Roman" w:hAnsi="Times New Roman"/>
          <w:sz w:val="17"/>
          <w:szCs w:val="17"/>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“Daily Net Settlement Amount”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w:t>
      </w:r>
    </w:p>
    <w:p>
      <w:pPr>
        <w:spacing w:after="0" w:line="2" w:lineRule="exact"/>
        <w:rPr>
          <w:sz w:val="20"/>
          <w:szCs w:val="20"/>
          <w:color w:val="auto"/>
        </w:rPr>
      </w:pPr>
    </w:p>
    <w:p>
      <w:pPr>
        <w:ind w:left="8" w:right="20" w:hanging="8"/>
        <w:spacing w:after="0" w:line="252" w:lineRule="auto"/>
        <w:tabs>
          <w:tab w:leader="none" w:pos="26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the first paragraph of Section 14.04(c) of the Indenture or the fourth sentence of the first paragraph of Section 14.04(d) of the Indenture).</w:t>
      </w:r>
    </w:p>
    <w:p>
      <w:pPr>
        <w:spacing w:after="0" w:line="82" w:lineRule="exact"/>
        <w:rPr>
          <w:sz w:val="20"/>
          <w:szCs w:val="20"/>
          <w:color w:val="auto"/>
        </w:rPr>
      </w:pPr>
    </w:p>
    <w:p>
      <w:pPr>
        <w:ind w:left="8"/>
        <w:spacing w:after="0" w:line="261" w:lineRule="auto"/>
        <w:rPr>
          <w:sz w:val="20"/>
          <w:szCs w:val="20"/>
          <w:color w:val="auto"/>
        </w:rPr>
      </w:pPr>
      <w:r>
        <w:rPr>
          <w:rFonts w:ascii="Times New Roman" w:cs="Times New Roman" w:eastAsia="Times New Roman" w:hAnsi="Times New Roman"/>
          <w:sz w:val="18"/>
          <w:szCs w:val="18"/>
          <w:color w:val="auto"/>
        </w:rPr>
        <w:t>Calculation Agent Adjustment, which means that, notwithstanding Section 11.2(c) of the Equity Definitions, upon any Potential Adjustment Event, the Calculation Agent shall make a corresponding and equivalent adjustment in respect of any adjustment under the</w:t>
      </w:r>
    </w:p>
    <w:p>
      <w:pPr>
        <w:spacing w:after="0" w:line="112"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4352" w:space="720"/>
            <w:col w:w="5928"/>
          </w:cols>
          <w:pgMar w:left="440" w:top="378" w:right="459" w:bottom="1440" w:gutter="0" w:footer="0" w:header="0"/>
        </w:sectPr>
      </w:pPr>
    </w:p>
    <w:bookmarkStart w:id="236" w:name="page237"/>
    <w:bookmarkEnd w:id="236"/>
    <w:p>
      <w:pPr>
        <w:ind w:left="396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to any one or more of the Strike Price, Number of Options, Option Entitlement and any other variable relevant to the exercise, settlement or payment for the Transaction to the extent an analogous adjustment would be made pursuant to the Indenture in connection with such Potential Adjustment Event.</w:t>
      </w:r>
    </w:p>
    <w:p>
      <w:pPr>
        <w:spacing w:after="0" w:line="72" w:lineRule="exact"/>
        <w:rPr>
          <w:sz w:val="20"/>
          <w:szCs w:val="20"/>
          <w:color w:val="auto"/>
        </w:rPr>
      </w:pPr>
    </w:p>
    <w:p>
      <w:pPr>
        <w:ind w:left="3960" w:right="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54" w:lineRule="exact"/>
        <w:rPr>
          <w:sz w:val="20"/>
          <w:szCs w:val="20"/>
          <w:color w:val="auto"/>
        </w:rPr>
      </w:pPr>
    </w:p>
    <w:p>
      <w:pPr>
        <w:ind w:left="4320" w:hanging="359"/>
        <w:spacing w:after="0" w:line="253" w:lineRule="auto"/>
        <w:rPr>
          <w:sz w:val="20"/>
          <w:szCs w:val="20"/>
          <w:color w:val="auto"/>
        </w:rPr>
      </w:pPr>
      <w:r>
        <w:rPr>
          <w:rFonts w:ascii="Times New Roman" w:cs="Times New Roman" w:eastAsia="Times New Roman" w:hAnsi="Times New Roman"/>
          <w:sz w:val="18"/>
          <w:szCs w:val="18"/>
          <w:color w:val="auto"/>
        </w:rPr>
        <w:t>(i)  if the Calculation Agent reasonably and in good faith determines that any adjustment to the Convertible Notes that involves an exercise of discretion by Counterparty or its board of directors (including, without limitation, pursuant to Section 14.05 of the Indenture or any supplemental indenture entered into pursuant to Section 14.07(a) of the Indenture or in connection with any proportional adjustment or the determination of the fair value of any securities, property, rights or other assets) is materially incorrect, then, in each such case, the Calculation Agent will determine the relevant adjustment to be made to any one or more of the Strike Price, Number of Options, Option Entitlement and any other variable relevant to the exercise, settlement or payment for the Transaction in a commercially reasonable manner;</w:t>
      </w:r>
    </w:p>
    <w:p>
      <w:pPr>
        <w:spacing w:after="0" w:line="84" w:lineRule="exact"/>
        <w:rPr>
          <w:sz w:val="20"/>
          <w:szCs w:val="20"/>
          <w:color w:val="auto"/>
        </w:rPr>
      </w:pPr>
    </w:p>
    <w:p>
      <w:pPr>
        <w:ind w:left="4320" w:hanging="359"/>
        <w:spacing w:after="0" w:line="244" w:lineRule="auto"/>
        <w:rPr>
          <w:sz w:val="20"/>
          <w:szCs w:val="20"/>
          <w:color w:val="auto"/>
        </w:rPr>
      </w:pPr>
      <w:r>
        <w:rPr>
          <w:rFonts w:ascii="Times New Roman" w:cs="Times New Roman" w:eastAsia="Times New Roman" w:hAnsi="Times New Roman"/>
          <w:sz w:val="18"/>
          <w:szCs w:val="18"/>
          <w:color w:val="auto"/>
        </w:rPr>
        <w:t>(ii)   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(including, but not limited to, hedging mismatches and market losses) and expenses incurred by Dealer in connection with its commercially reasonable hedging activities as a result of such event or condition not having been publicly announced prior to the beginning of such period; and</w:t>
      </w:r>
    </w:p>
    <w:p>
      <w:pPr>
        <w:spacing w:after="0" w:line="87" w:lineRule="exact"/>
        <w:rPr>
          <w:sz w:val="20"/>
          <w:szCs w:val="20"/>
          <w:color w:val="auto"/>
        </w:rPr>
      </w:pPr>
    </w:p>
    <w:p>
      <w:pPr>
        <w:ind w:left="4320" w:right="240" w:hanging="359"/>
        <w:spacing w:after="0" w:line="258" w:lineRule="auto"/>
        <w:rPr>
          <w:sz w:val="20"/>
          <w:szCs w:val="20"/>
          <w:color w:val="auto"/>
        </w:rPr>
      </w:pPr>
      <w:r>
        <w:rPr>
          <w:rFonts w:ascii="Times New Roman" w:cs="Times New Roman" w:eastAsia="Times New Roman" w:hAnsi="Times New Roman"/>
          <w:sz w:val="18"/>
          <w:szCs w:val="18"/>
          <w:color w:val="auto"/>
        </w:rPr>
        <w:t>(iii)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40" w:top="378" w:right="459" w:bottom="1440" w:gutter="0" w:footer="0" w:header="0"/>
        </w:sectPr>
      </w:pPr>
    </w:p>
    <w:bookmarkStart w:id="237" w:name="page238"/>
    <w:bookmarkEnd w:id="237"/>
    <w:p>
      <w:pPr>
        <w:ind w:left="47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 Event Change</w:t>
      </w:r>
      <w:r>
        <w:rPr>
          <w:rFonts w:ascii="Times New Roman" w:cs="Times New Roman" w:eastAsia="Times New Roman" w:hAnsi="Times New Roman"/>
          <w:sz w:val="18"/>
          <w:szCs w:val="18"/>
          <w:color w:val="auto"/>
        </w:rPr>
        <w:t>”) then, in each case, the Calculation Agent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adjust any variable relevant to the exercise, settlement or payment for the Transaction as appropriate to reflect the costs (including, but not limited to, hedging mismatches and market losses) and expenses incurred by Dealer in connection with its commercially reasonable hedging activities as a result of such Potential Adjustment Event Change.</w:t>
      </w:r>
    </w:p>
    <w:p>
      <w:pPr>
        <w:sectPr>
          <w:pgSz w:w="11900" w:h="16838" w:orient="portrait"/>
          <w:cols w:equalWidth="0" w:num="1">
            <w:col w:w="10640"/>
          </w:cols>
          <w:pgMar w:left="800" w:top="378" w:right="459" w:bottom="1440" w:gutter="0" w:footer="0" w:header="0"/>
        </w:sectPr>
      </w:pP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Dilution Adjustment Provisions: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14.04(a), (b), (c), (d) and (e) and Section 14.05 of the Indenture.</w:t>
      </w:r>
    </w:p>
    <w:p>
      <w:pPr>
        <w:spacing w:after="0" w:line="129" w:lineRule="exact"/>
        <w:rPr>
          <w:sz w:val="20"/>
          <w:szCs w:val="20"/>
          <w:color w:val="auto"/>
        </w:rPr>
      </w:pPr>
    </w:p>
    <w:p>
      <w:pPr>
        <w:sectPr>
          <w:pgSz w:w="11900" w:h="16838" w:orient="portrait"/>
          <w:cols w:equalWidth="0" w:num="2">
            <w:col w:w="4000" w:space="720"/>
            <w:col w:w="592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Extraordinary Events applicable to the Transaction:</w:t>
      </w:r>
    </w:p>
    <w:p>
      <w:pPr>
        <w:sectPr>
          <w:pgSz w:w="11900" w:h="16838" w:orient="portrait"/>
          <w:cols w:equalWidth="0" w:num="1">
            <w:col w:w="10640"/>
          </w:cols>
          <w:pgMar w:left="800" w:top="378" w:right="45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Merger Events: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“Specified Transaction” in Section 14.07(a) of the Indenture.</w:t>
      </w:r>
    </w:p>
    <w:p>
      <w:pPr>
        <w:spacing w:after="0" w:line="72" w:lineRule="exact"/>
        <w:rPr>
          <w:sz w:val="20"/>
          <w:szCs w:val="20"/>
          <w:color w:val="auto"/>
        </w:rPr>
      </w:pPr>
    </w:p>
    <w:p>
      <w:pPr>
        <w:sectPr>
          <w:pgSz w:w="11900" w:h="16838" w:orient="portrait"/>
          <w:cols w:equalWidth="0" w:num="2">
            <w:col w:w="4000" w:space="720"/>
            <w:col w:w="5920"/>
          </w:cols>
          <w:pgMar w:left="800" w:top="378"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Tender Offers:</w:t>
      </w:r>
    </w:p>
    <w:p>
      <w:pPr>
        <w:spacing w:after="0" w:line="20" w:lineRule="exact"/>
        <w:rPr>
          <w:sz w:val="20"/>
          <w:szCs w:val="20"/>
          <w:color w:val="auto"/>
        </w:rPr>
      </w:pPr>
      <w:r>
        <w:rPr>
          <w:sz w:val="20"/>
          <w:szCs w:val="20"/>
          <w:color w:val="auto"/>
        </w:rPr>
        <w:br w:type="column"/>
      </w: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 Offer” means the occurrence of any event or condition set forth in Section 14.04(e) of the Indenture.</w:t>
      </w:r>
    </w:p>
    <w:p>
      <w:pPr>
        <w:spacing w:after="0" w:line="67" w:lineRule="exact"/>
        <w:rPr>
          <w:sz w:val="20"/>
          <w:szCs w:val="20"/>
          <w:color w:val="auto"/>
        </w:rPr>
      </w:pPr>
    </w:p>
    <w:p>
      <w:pPr>
        <w:sectPr>
          <w:pgSz w:w="11900" w:h="16838" w:orient="portrait"/>
          <w:cols w:equalWidth="0" w:num="2">
            <w:col w:w="4000" w:space="720"/>
            <w:col w:w="5920"/>
          </w:cols>
          <w:pgMar w:left="800" w:top="378"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Consequences of Merger Events / Tender Offers: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that results in an adjustment under the Indenture, the Calculation Agent shall make a corresponding and equivalent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adjustment shall be made without regard to any adjustment to the Conversion Rate pursuant to any Excluded Provision;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the foregoing, if the Calculation Agent reasonably and in good faith determines that any adjustment to the Convertible Notes that involves an exercise of discretion by Counterparty or its board of directors (including, without limitation, pursuant to Section 14.07(a) of the Indenture) is materially incorrect, then, in each such case, the Calculation Agent will determine the relevant adjustment to be made to any one or more of the nature of the Shares, Strike Price, Number of Options, Option Entitlement and any other variable relevant to the</w:t>
      </w:r>
    </w:p>
    <w:p>
      <w:pPr>
        <w:spacing w:after="0" w:line="126" w:lineRule="exact"/>
        <w:rPr>
          <w:sz w:val="20"/>
          <w:szCs w:val="20"/>
          <w:color w:val="auto"/>
        </w:rPr>
      </w:pPr>
    </w:p>
    <w:p>
      <w:pPr>
        <w:sectPr>
          <w:pgSz w:w="11900" w:h="16838" w:orient="portrait"/>
          <w:cols w:equalWidth="0" w:num="2">
            <w:col w:w="4000" w:space="720"/>
            <w:col w:w="5920"/>
          </w:cols>
          <w:pgMar w:left="800" w:top="378" w:right="45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40"/>
          </w:cols>
          <w:pgMar w:left="800" w:top="378" w:right="459" w:bottom="1440" w:gutter="0" w:footer="0" w:header="0"/>
          <w:type w:val="continuous"/>
        </w:sectPr>
      </w:pPr>
    </w:p>
    <w:bookmarkStart w:id="238" w:name="page239"/>
    <w:bookmarkEnd w:id="238"/>
    <w:p>
      <w:pPr>
        <w:ind w:left="47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exercise, settlement or payment for the Transaction in a commercially reasonable manner;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Counterparty to the Transaction following such Merger Event or Tender Offer will not be a corporation organized under the laws of the United States, any State thereof or the District of Columbia or will not be (x) the Issuer or (y) a wholly owned subsidiary of the Issuer that has become the obligor on the Convertible Notes and the contractual obligations of which, including its obligations under the Convertible Notes, are fully and unconditionally guaranteed by the Issuer, in each case, following such Merger Event or Tender Offer, then Cancellation and Payment (Calculation Agent Determination) may apply in Dealer’s sole discretion.</w:t>
      </w:r>
    </w:p>
    <w:p>
      <w:pPr>
        <w:sectPr>
          <w:pgSz w:w="11900" w:h="16838" w:orient="portrait"/>
          <w:cols w:equalWidth="0" w:num="1">
            <w:col w:w="10640"/>
          </w:cols>
          <w:pgMar w:left="800" w:top="378" w:right="45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79" w:lineRule="exact"/>
        <w:rPr>
          <w:sz w:val="20"/>
          <w:szCs w:val="20"/>
          <w:color w:val="auto"/>
        </w:rPr>
      </w:pPr>
    </w:p>
    <w:p>
      <w:pPr>
        <w:sectPr>
          <w:pgSz w:w="11900" w:h="16838" w:orient="portrait"/>
          <w:cols w:equalWidth="0" w:num="2">
            <w:col w:w="4000" w:space="720"/>
            <w:col w:w="592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15" w:lineRule="exact"/>
        <w:rPr>
          <w:sz w:val="20"/>
          <w:szCs w:val="20"/>
          <w:color w:val="auto"/>
        </w:rPr>
      </w:pPr>
    </w:p>
    <w:p>
      <w:pPr>
        <w:ind w:left="360"/>
        <w:spacing w:after="0"/>
        <w:tabs>
          <w:tab w:leader="none" w:pos="4700" w:val="left"/>
        </w:tabs>
        <w:rPr>
          <w:sz w:val="20"/>
          <w:szCs w:val="20"/>
          <w:color w:val="auto"/>
        </w:rPr>
      </w:pPr>
      <w:r>
        <w:rPr>
          <w:rFonts w:ascii="Times New Roman" w:cs="Times New Roman" w:eastAsia="Times New Roman" w:hAnsi="Times New Roman"/>
          <w:sz w:val="18"/>
          <w:szCs w:val="18"/>
          <w:color w:val="auto"/>
        </w:rPr>
        <w:t>Change in Law:</w:t>
      </w:r>
      <w:r>
        <w:rPr>
          <w:sz w:val="20"/>
          <w:szCs w:val="20"/>
          <w:color w:val="auto"/>
        </w:rPr>
        <w:tab/>
      </w: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Section 12.9(a)(ii) of the Equity Definitions is hereby</w:t>
      </w:r>
    </w:p>
    <w:p>
      <w:pPr>
        <w:spacing w:after="0" w:line="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amended by (a) adding in the last line after “on its tax position)” the following:</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provided that such party has undertaken, and was unable after using</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commercially reasonable efforts, to utilize alternative Hedge Positions on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commercially reasonable pricing terms, as long as (i) it would not violate any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applicable law, rule, regulation or policy of such party to hold, acquire or dispose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of such alternative Hedge Positions and (ii) such party would not incur a</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materially increased cost in performing its obligations under such Transaction or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entering into and performing such alternative Hedge Positions (including, without</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limitation, due to any tax, duty, expense or fee, or any increase in tax liability,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decrease in tax benefit or other adverse effect on its tax position)”, (b) replacing</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the parenthetical beginning after the word “regulation” in the second line thereof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with the words “(including, for the avoidance of doubt and without limitation,</w:t>
      </w:r>
    </w:p>
    <w:p>
      <w:pPr>
        <w:spacing w:after="0" w:line="9" w:lineRule="exact"/>
        <w:rPr>
          <w:sz w:val="20"/>
          <w:szCs w:val="20"/>
          <w:color w:val="auto"/>
        </w:rPr>
      </w:pPr>
    </w:p>
    <w:p>
      <w:pPr>
        <w:ind w:left="4720" w:right="120" w:hanging="8"/>
        <w:spacing w:after="0" w:line="255" w:lineRule="auto"/>
        <w:tabs>
          <w:tab w:leader="none" w:pos="497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law or (y) adoption or promulgation of new regulations authorized or mandated by existing statute),” and (c) replacing the word “Shares” with the phrase “Hedge Positions”.</w:t>
      </w:r>
    </w:p>
    <w:p>
      <w:pPr>
        <w:spacing w:after="0" w:line="11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800" w:top="378" w:right="45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-480695</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000" w:space="720"/>
            <w:col w:w="5920"/>
          </w:cols>
          <w:pgMar w:left="800" w:top="702" w:right="45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0"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12.9(a)(v) of the Equity Definitions is hereby amended 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 inserting the following words at the end of clause (A) thereof: “in the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manner contemplated by the Hedging Party on the Trade Date”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 inserting the following two phrases at the end of such Section:</w:t>
      </w:r>
    </w:p>
    <w:p>
      <w:pPr>
        <w:spacing w:after="0" w:line="99" w:lineRule="exact"/>
        <w:rPr>
          <w:sz w:val="20"/>
          <w:szCs w:val="20"/>
          <w:color w:val="auto"/>
        </w:rPr>
      </w:pPr>
    </w:p>
    <w:p>
      <w:pPr>
        <w:sectPr>
          <w:pgSz w:w="11900" w:h="16838" w:orient="portrait"/>
          <w:cols w:equalWidth="0" w:num="2">
            <w:col w:w="4920" w:space="140"/>
            <w:col w:w="5580"/>
          </w:cols>
          <w:pgMar w:left="800" w:top="702" w:right="459" w:bottom="1440" w:gutter="0" w:footer="0" w:header="0"/>
          <w:type w:val="continuous"/>
        </w:sectPr>
      </w:pPr>
    </w:p>
    <w:p>
      <w:pPr>
        <w:ind w:left="5080" w:right="100"/>
        <w:spacing w:after="0" w:line="258" w:lineRule="auto"/>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75" w:lineRule="exact"/>
        <w:rPr>
          <w:sz w:val="20"/>
          <w:szCs w:val="20"/>
          <w:color w:val="auto"/>
        </w:rPr>
      </w:pPr>
    </w:p>
    <w:p>
      <w:pPr>
        <w:ind w:left="5080" w:hanging="359"/>
        <w:spacing w:after="0" w:line="289" w:lineRule="auto"/>
        <w:rPr>
          <w:sz w:val="20"/>
          <w:szCs w:val="20"/>
          <w:color w:val="auto"/>
        </w:rPr>
      </w:pPr>
      <w:r>
        <w:rPr>
          <w:rFonts w:ascii="Times New Roman" w:cs="Times New Roman" w:eastAsia="Times New Roman" w:hAnsi="Times New Roman"/>
          <w:sz w:val="17"/>
          <w:szCs w:val="17"/>
          <w:color w:val="auto"/>
        </w:rPr>
        <w:t>(ii)   Section 12.9(b)(iii) of the Equity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0640"/>
          </w:cols>
          <w:pgMar w:left="800" w:top="702" w:right="4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 of Hedging: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9"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all applicable Additional Disruption Events, Dealer.</w:t>
      </w:r>
    </w:p>
    <w:p>
      <w:pPr>
        <w:spacing w:after="0" w:line="126"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any determination or calculation by the Determining Party hereunder, upon a written request from either party, the Determining Party will promptly (but in any event within three Scheduled Trading Days) provide to such party a statement displaying in reasonable detail the basis for such determination or calculation (including, without limitation, any quotes, market data or information from internal or external sources and any assumptions used in making such determination or calculation) as the case may be (it being understood that the Determining Party shall not be required to disclose any proprietary models or information or confidential models or information used by it in connection with such determination or calculation, as the case may be).</w:t>
      </w:r>
    </w:p>
    <w:p>
      <w:pPr>
        <w:spacing w:after="0" w:line="86"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Agreements and Acknowledgments Regarding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39" w:lineRule="exact"/>
        <w:rPr>
          <w:sz w:val="20"/>
          <w:szCs w:val="20"/>
          <w:color w:val="auto"/>
        </w:rPr>
      </w:pPr>
    </w:p>
    <w:p>
      <w:pPr>
        <w:sectPr>
          <w:pgSz w:w="11900" w:h="16838" w:orient="portrait"/>
          <w:cols w:equalWidth="0" w:num="2">
            <w:col w:w="4020" w:space="700"/>
            <w:col w:w="5920"/>
          </w:cols>
          <w:pgMar w:left="800" w:top="70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Activities:</w:t>
      </w:r>
    </w:p>
    <w:p>
      <w:pPr>
        <w:sectPr>
          <w:pgSz w:w="11900" w:h="16838" w:orient="portrait"/>
          <w:cols w:equalWidth="0" w:num="1">
            <w:col w:w="10640"/>
          </w:cols>
          <w:pgMar w:left="800" w:top="702" w:right="4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5"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Calculation Agent</w:t>
      </w:r>
      <w:r>
        <w:rPr>
          <w:rFonts w:ascii="Times New Roman" w:cs="Times New Roman" w:eastAsia="Times New Roman" w:hAnsi="Times New Roman"/>
          <w:sz w:val="18"/>
          <w:szCs w:val="18"/>
          <w:color w:val="auto"/>
        </w:rPr>
        <w:t>. Dealer, unless an Event of Default has occurred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pursuant to Section 5(a)(vii)</w:t>
      </w:r>
    </w:p>
    <w:p>
      <w:pPr>
        <w:spacing w:after="0" w:line="91" w:lineRule="exact"/>
        <w:rPr>
          <w:sz w:val="20"/>
          <w:szCs w:val="20"/>
          <w:color w:val="auto"/>
        </w:rPr>
      </w:pPr>
    </w:p>
    <w:p>
      <w:pPr>
        <w:sectPr>
          <w:pgSz w:w="11900" w:h="16838" w:orient="portrait"/>
          <w:cols w:equalWidth="0" w:num="2">
            <w:col w:w="4000" w:space="720"/>
            <w:col w:w="5920"/>
          </w:cols>
          <w:pgMar w:left="800" w:top="702" w:right="45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40"/>
          </w:cols>
          <w:pgMar w:left="800" w:top="702" w:right="459" w:bottom="1440" w:gutter="0" w:footer="0" w:header="0"/>
          <w:type w:val="continuous"/>
        </w:sectPr>
      </w:pPr>
    </w:p>
    <w:bookmarkStart w:id="240" w:name="page241"/>
    <w:bookmarkEnd w:id="240"/>
    <w:p>
      <w:pPr>
        <w:ind w:left="496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Agreement with respect to which Dealer is the Defaulting Party, in which case Counterparty shall have the right to designate a nationally recognized third-party dealer in over-the-counter corporate equity derivatives to replace Dealer as Calculation Agent, and the parties shall work in good faith to execute any appropriate documentation required by such replacement Calculation Agent. All calculations and determinations by the Calculation Agent shall be made in good faith and in a commercially reasonable manner. Following any determination or calculation by the Calculation Agent hereunder (including for the avoidance for doubt, any determination by the Calculation Agent of any adjustment to the terms of the Transaction pursuant to the second paragraph under “Method of Adjustment” in Section 3 above), upon a written request from either party, the Calculation Agent will promptly (but in any event within three Scheduled Trading Days) provide to such party a statement displaying in reasonable detail the basis for such determination or calculation (including, without limitation, any quotations, market data or information from internal or external sources and any assumptions used in making such determination or calculation), as the case may be (it being understood that the Calculation Agent shall not be required to disclose any proprietary models or information or confidential models or information used by it in connection with such determination or calculation, as the case may be).</w:t>
      </w:r>
    </w:p>
    <w:p>
      <w:pPr>
        <w:spacing w:after="0" w:line="92" w:lineRule="exact"/>
        <w:rPr>
          <w:sz w:val="20"/>
          <w:szCs w:val="20"/>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w:t>
      </w:r>
    </w:p>
    <w:p>
      <w:pPr>
        <w:sectPr>
          <w:pgSz w:w="11900" w:h="16838" w:orient="portrait"/>
          <w:cols w:equalWidth="0" w:num="1">
            <w:col w:w="10984"/>
          </w:cols>
          <w:pgMar w:left="436" w:top="270" w:right="479" w:bottom="1440" w:gutter="0" w:footer="0" w:header="0"/>
        </w:sectPr>
      </w:pPr>
    </w:p>
    <w:p>
      <w:pPr>
        <w:spacing w:after="0" w:line="13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Bank:</w:t>
      </w:r>
    </w:p>
    <w:p>
      <w:pPr>
        <w:spacing w:after="0" w:line="2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ABA#:</w:t>
      </w:r>
    </w:p>
    <w:p>
      <w:pPr>
        <w:spacing w:after="0" w:line="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SWIFT:</w:t>
      </w:r>
    </w:p>
    <w:p>
      <w:pPr>
        <w:spacing w:after="0" w:line="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7"/>
          <w:szCs w:val="17"/>
          <w:color w:val="auto"/>
        </w:rPr>
        <w:t>Acct Name:</w:t>
      </w:r>
    </w:p>
    <w:p>
      <w:pPr>
        <w:spacing w:after="0" w:line="2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Acct No.:</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0" w:lineRule="exact"/>
        <w:rPr>
          <w:sz w:val="20"/>
          <w:szCs w:val="20"/>
          <w:color w:val="auto"/>
        </w:rPr>
      </w:pPr>
    </w:p>
    <w:p>
      <w:pPr>
        <w:sectPr>
          <w:pgSz w:w="11900" w:h="16838" w:orient="portrait"/>
          <w:cols w:equalWidth="0" w:num="2">
            <w:col w:w="1584" w:space="640"/>
            <w:col w:w="8760"/>
          </w:cols>
          <w:pgMar w:left="436" w:top="270" w:right="47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Account for delivery of Shares to Counterparty: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131" w:lineRule="exact"/>
        <w:rPr>
          <w:sz w:val="20"/>
          <w:szCs w:val="20"/>
          <w:color w:val="auto"/>
        </w:rPr>
      </w:pPr>
    </w:p>
    <w:p>
      <w:pPr>
        <w:ind w:left="964" w:hanging="532"/>
        <w:spacing w:after="0"/>
        <w:tabs>
          <w:tab w:leader="none" w:pos="9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ectPr>
          <w:pgSz w:w="11900" w:h="16838" w:orient="portrait"/>
          <w:cols w:equalWidth="0" w:num="1">
            <w:col w:w="10984"/>
          </w:cols>
          <w:pgMar w:left="436" w:top="270" w:right="479" w:bottom="1440" w:gutter="0" w:footer="0" w:header="0"/>
          <w:type w:val="continuous"/>
        </w:sectPr>
      </w:pPr>
    </w:p>
    <w:p>
      <w:pPr>
        <w:spacing w:after="0" w:line="13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Bank:</w:t>
      </w:r>
    </w:p>
    <w:p>
      <w:pPr>
        <w:spacing w:after="0" w:line="200" w:lineRule="exact"/>
        <w:rPr>
          <w:sz w:val="20"/>
          <w:szCs w:val="20"/>
          <w:color w:val="auto"/>
        </w:rPr>
      </w:pPr>
    </w:p>
    <w:p>
      <w:pPr>
        <w:spacing w:after="0" w:line="24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ABA#:</w:t>
      </w:r>
    </w:p>
    <w:p>
      <w:pPr>
        <w:spacing w:after="0" w:line="2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SWIFT:</w:t>
      </w:r>
    </w:p>
    <w:p>
      <w:pPr>
        <w:spacing w:after="0" w:line="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7"/>
          <w:szCs w:val="17"/>
          <w:color w:val="auto"/>
        </w:rPr>
        <w:t>Acct Name:</w:t>
      </w:r>
    </w:p>
    <w:p>
      <w:pPr>
        <w:spacing w:after="0" w:line="2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Acct No.:</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110" w:lineRule="exact"/>
        <w:rPr>
          <w:sz w:val="20"/>
          <w:szCs w:val="20"/>
          <w:color w:val="auto"/>
        </w:rPr>
      </w:pPr>
    </w:p>
    <w:p>
      <w:pPr>
        <w:sectPr>
          <w:pgSz w:w="11900" w:h="16838" w:orient="portrait"/>
          <w:cols w:equalWidth="0" w:num="2">
            <w:col w:w="1584" w:space="640"/>
            <w:col w:w="8760"/>
          </w:cols>
          <w:pgMar w:left="436" w:top="270" w:right="47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be provided by Dealer.</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type w:val="continuous"/>
        </w:sectPr>
      </w:pPr>
    </w:p>
    <w:bookmarkStart w:id="241" w:name="page242"/>
    <w:bookmarkEnd w:id="241"/>
    <w:p>
      <w:pPr>
        <w:ind w:left="424" w:hanging="424"/>
        <w:spacing w:after="0"/>
        <w:tabs>
          <w:tab w:leader="none" w:pos="424"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of Counterparty for the Transaction is: Inapplicable, Counterparty is not a Multibranch Party.</w:t>
      </w:r>
    </w:p>
    <w:p>
      <w:pPr>
        <w:spacing w:after="0" w:line="142"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[____][Inapplicable, Dealer is not a Multibranch Party].</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ectPr>
          <w:pgSz w:w="11900" w:h="16838" w:orient="portrait"/>
          <w:cols w:equalWidth="0" w:num="1">
            <w:col w:w="10023"/>
          </w:cols>
          <w:pgMar w:left="436" w:top="266" w:right="1440" w:bottom="1440" w:gutter="0" w:footer="0" w:header="0"/>
        </w:sectPr>
      </w:pPr>
    </w:p>
    <w:p>
      <w:pPr>
        <w:spacing w:after="0" w:line="252"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Edward McGowan, Executive Vice President &amp; 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284" w:space="720"/>
            <w:col w:w="7019"/>
          </w:cols>
          <w:pgMar w:left="436" w:top="266" w:right="1440" w:bottom="1440" w:gutter="0" w:footer="0" w:header="0"/>
          <w:type w:val="continuous"/>
        </w:sectPr>
      </w:pPr>
    </w:p>
    <w:p>
      <w:pPr>
        <w:spacing w:after="0" w:line="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color w:val="auto"/>
        </w:rPr>
        <w:t>With a copy of all legal notices to:</w:t>
      </w:r>
    </w:p>
    <w:p>
      <w:pPr>
        <w:sectPr>
          <w:pgSz w:w="11900" w:h="16838" w:orient="portrait"/>
          <w:cols w:equalWidth="0" w:num="1">
            <w:col w:w="10023"/>
          </w:cols>
          <w:pgMar w:left="436" w:top="2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Facsimile:</w:t>
      </w:r>
    </w:p>
    <w:p>
      <w:pPr>
        <w:spacing w:after="0" w:line="2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Aaron Ahola, Executive Vice President, General Counsel &amp; Corporate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284" w:space="720"/>
            <w:col w:w="7019"/>
          </w:cols>
          <w:pgMar w:left="436" w:top="266" w:right="1440" w:bottom="1440" w:gutter="0" w:footer="0" w:header="0"/>
          <w:type w:val="continuous"/>
        </w:sectPr>
      </w:pPr>
    </w:p>
    <w:p>
      <w:pPr>
        <w:spacing w:after="0" w:line="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color w:val="auto"/>
        </w:rPr>
        <w:t>With a copy of all legal notices to:</w:t>
      </w:r>
    </w:p>
    <w:p>
      <w:pPr>
        <w:sectPr>
          <w:pgSz w:w="11900" w:h="16838" w:orient="portrait"/>
          <w:cols w:equalWidth="0" w:num="1">
            <w:col w:w="10023"/>
          </w:cols>
          <w:pgMar w:left="436" w:top="2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Facsimile:</w:t>
      </w:r>
    </w:p>
    <w:p>
      <w:pPr>
        <w:spacing w:after="0" w:line="2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Murley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sectPr>
          <w:pgSz w:w="11900" w:h="16838" w:orient="portrait"/>
          <w:cols w:equalWidth="0" w:num="2">
            <w:col w:w="2284" w:space="720"/>
            <w:col w:w="7019"/>
          </w:cols>
          <w:pgMar w:left="436" w:top="266" w:right="1440" w:bottom="1440" w:gutter="0" w:footer="0" w:header="0"/>
          <w:type w:val="continuous"/>
        </w:sectPr>
      </w:pPr>
    </w:p>
    <w:p>
      <w:pPr>
        <w:ind w:left="964" w:hanging="532"/>
        <w:spacing w:after="0"/>
        <w:tabs>
          <w:tab w:leader="none" w:pos="9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ectPr>
          <w:pgSz w:w="11900" w:h="16838" w:orient="portrait"/>
          <w:cols w:equalWidth="0" w:num="1">
            <w:col w:w="10023"/>
          </w:cols>
          <w:pgMar w:left="436" w:top="266" w:right="1440" w:bottom="1440" w:gutter="0" w:footer="0" w:header="0"/>
          <w:type w:val="continuous"/>
        </w:sectPr>
      </w:pPr>
    </w:p>
    <w:p>
      <w:pPr>
        <w:spacing w:after="0" w:line="252"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9" w:lineRule="exact"/>
        <w:rPr>
          <w:sz w:val="20"/>
          <w:szCs w:val="20"/>
          <w:color w:val="auto"/>
        </w:rPr>
      </w:pPr>
    </w:p>
    <w:p>
      <w:pPr>
        <w:sectPr>
          <w:pgSz w:w="11900" w:h="16838" w:orient="portrait"/>
          <w:cols w:equalWidth="0" w:num="2">
            <w:col w:w="2284" w:space="720"/>
            <w:col w:w="7019"/>
          </w:cols>
          <w:pgMar w:left="436" w:top="266" w:right="1440" w:bottom="1440" w:gutter="0" w:footer="0" w:header="0"/>
          <w:type w:val="continuous"/>
        </w:sectPr>
      </w:pPr>
    </w:p>
    <w:p>
      <w:pPr>
        <w:ind w:left="1004"/>
        <w:spacing w:after="0"/>
        <w:rPr>
          <w:sz w:val="20"/>
          <w:szCs w:val="20"/>
          <w:color w:val="auto"/>
        </w:rPr>
      </w:pPr>
      <w:r>
        <w:rPr>
          <w:rFonts w:ascii="Times New Roman" w:cs="Times New Roman" w:eastAsia="Times New Roman" w:hAnsi="Times New Roman"/>
          <w:sz w:val="17"/>
          <w:szCs w:val="17"/>
          <w:color w:val="auto"/>
        </w:rPr>
        <w:t>With a copy to:</w:t>
      </w:r>
    </w:p>
    <w:p>
      <w:pPr>
        <w:spacing w:after="0" w:line="200" w:lineRule="exact"/>
        <w:rPr>
          <w:sz w:val="20"/>
          <w:szCs w:val="20"/>
          <w:color w:val="auto"/>
        </w:rPr>
      </w:pPr>
    </w:p>
    <w:p>
      <w:pPr>
        <w:spacing w:after="0" w:line="253"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139" w:lineRule="exact"/>
        <w:rPr>
          <w:sz w:val="20"/>
          <w:szCs w:val="20"/>
          <w:color w:val="auto"/>
        </w:rPr>
      </w:pPr>
    </w:p>
    <w:p>
      <w:pPr>
        <w:sectPr>
          <w:pgSz w:w="11900" w:h="16838" w:orient="portrait"/>
          <w:cols w:equalWidth="0" w:num="2">
            <w:col w:w="2284" w:space="720"/>
            <w:col w:w="7019"/>
          </w:cols>
          <w:pgMar w:left="436" w:top="266" w:right="1440" w:bottom="1440" w:gutter="0" w:footer="0" w:header="0"/>
          <w:type w:val="continuous"/>
        </w:sectPr>
      </w:pPr>
    </w:p>
    <w:p>
      <w:pPr>
        <w:ind w:left="542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23"/>
          </w:cols>
          <w:pgMar w:left="436" w:top="266" w:right="1440" w:bottom="1440" w:gutter="0" w:footer="0" w:header="0"/>
          <w:type w:val="continuous"/>
        </w:sectPr>
      </w:pPr>
    </w:p>
    <w:bookmarkStart w:id="242" w:name="page243"/>
    <w:bookmarkEnd w:id="242"/>
    <w:p>
      <w:pPr>
        <w:ind w:left="424" w:hanging="424"/>
        <w:spacing w:after="0"/>
        <w:tabs>
          <w:tab w:leader="none" w:pos="424"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Counterparty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Counterparty hereby represents and warrants to Dealer on the date hereof and on and as of the Premium Payment Date that:</w:t>
      </w:r>
    </w:p>
    <w:p>
      <w:pPr>
        <w:spacing w:after="0" w:line="130" w:lineRule="exact"/>
        <w:rPr>
          <w:rFonts w:ascii="Times New Roman" w:cs="Times New Roman" w:eastAsia="Times New Roman" w:hAnsi="Times New Roman"/>
          <w:sz w:val="18"/>
          <w:szCs w:val="18"/>
          <w:b w:val="1"/>
          <w:bCs w:val="1"/>
          <w:color w:val="auto"/>
        </w:rPr>
      </w:pPr>
    </w:p>
    <w:p>
      <w:pPr>
        <w:ind w:left="964" w:right="80" w:hanging="532"/>
        <w:spacing w:after="0" w:line="254"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97" w:lineRule="exact"/>
        <w:rPr>
          <w:rFonts w:ascii="Times New Roman" w:cs="Times New Roman" w:eastAsia="Times New Roman" w:hAnsi="Times New Roman"/>
          <w:sz w:val="18"/>
          <w:szCs w:val="18"/>
          <w:color w:val="auto"/>
        </w:rPr>
      </w:pPr>
    </w:p>
    <w:p>
      <w:pPr>
        <w:ind w:left="964" w:hanging="532"/>
        <w:spacing w:after="0" w:line="254"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(i) the certificate of incorporation or by-laws (or any equivalent documents) of Counterparty, (ii) any applicable law or regulation, or any order, writ, injunction or decree of any court or governmental authority or agency, or (iii) any agreement or instrument filed as an exhibit to Counterparty’s Annual Report on Form 10-K for the year ended December 31, 2025,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 other than, in the case of clause (iii), any such conflict, breach, default or lien that would not have a material adverse effect on Counterparty’s ability to perform its obligations under the Transaction.</w:t>
      </w:r>
    </w:p>
    <w:p>
      <w:pPr>
        <w:spacing w:after="0" w:line="9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81"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81"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243" w:name="page244"/>
    <w:bookmarkEnd w:id="243"/>
    <w:p>
      <w:pPr>
        <w:ind w:left="964" w:right="60" w:hanging="532"/>
        <w:spacing w:after="0" w:line="317" w:lineRule="auto"/>
        <w:tabs>
          <w:tab w:leader="none" w:pos="964"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[Counterparty has received, read and understands the OTC Options Risk Disclosure Statement provided by Dealer and a copy of the most recent disclosure pamphlet prepared by The Options Clearing Corporation entitled “Characteristics and Risks of Standardized Options”.]</w:t>
      </w:r>
      <w:r>
        <w:rPr>
          <w:rFonts w:ascii="Times New Roman" w:cs="Times New Roman" w:eastAsia="Times New Roman" w:hAnsi="Times New Roman"/>
          <w:sz w:val="25"/>
          <w:szCs w:val="25"/>
          <w:color w:val="auto"/>
          <w:vertAlign w:val="superscript"/>
        </w:rPr>
        <w:t>18</w:t>
      </w:r>
    </w:p>
    <w:p>
      <w:pPr>
        <w:spacing w:after="0" w:line="154"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32" w:lineRule="exact"/>
        <w:rPr>
          <w:rFonts w:ascii="Times New Roman" w:cs="Times New Roman" w:eastAsia="Times New Roman" w:hAnsi="Times New Roman"/>
          <w:sz w:val="18"/>
          <w:szCs w:val="18"/>
          <w:b w:val="1"/>
          <w:bCs w:val="1"/>
          <w:color w:val="auto"/>
        </w:rPr>
      </w:pPr>
    </w:p>
    <w:p>
      <w:pPr>
        <w:ind w:left="964" w:right="220" w:hanging="532"/>
        <w:spacing w:after="0" w:line="267" w:lineRule="auto"/>
        <w:tabs>
          <w:tab w:leader="none" w:pos="96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Sections 8(a) through (c) of this Confirmation. Delivery of such opinion to Dealer shall be a condition precedent for the purpose of Section 2(a)(iii) of the Agreement with respect to each obligation of Dealer under Section 2(a)(i) of the Agreement.</w:t>
      </w:r>
    </w:p>
    <w:p>
      <w:pPr>
        <w:spacing w:after="0" w:line="78" w:lineRule="exact"/>
        <w:rPr>
          <w:rFonts w:ascii="Times New Roman" w:cs="Times New Roman" w:eastAsia="Times New Roman" w:hAnsi="Times New Roman"/>
          <w:sz w:val="18"/>
          <w:szCs w:val="18"/>
          <w:color w:val="auto"/>
        </w:rPr>
      </w:pPr>
    </w:p>
    <w:p>
      <w:pPr>
        <w:ind w:left="964" w:hanging="532"/>
        <w:spacing w:after="0" w:line="243" w:lineRule="auto"/>
        <w:tabs>
          <w:tab w:leader="none" w:pos="96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or consummates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executes or engages in any transaction or event (a “</w:t>
      </w:r>
      <w:r>
        <w:rPr>
          <w:rFonts w:ascii="Times New Roman" w:cs="Times New Roman" w:eastAsia="Times New Roman" w:hAnsi="Times New Roman"/>
          <w:sz w:val="18"/>
          <w:szCs w:val="18"/>
          <w:b w:val="1"/>
          <w:bCs w:val="1"/>
          <w:color w:val="auto"/>
        </w:rPr>
        <w:t>Conversion Rate Adjustment Event</w:t>
      </w:r>
      <w:r>
        <w:rPr>
          <w:rFonts w:ascii="Times New Roman" w:cs="Times New Roman" w:eastAsia="Times New Roman" w:hAnsi="Times New Roman"/>
          <w:sz w:val="18"/>
          <w:szCs w:val="18"/>
          <w:color w:val="auto"/>
        </w:rPr>
        <w:t>”) that would lead to an increase in the “Conversion Rate” (as such term is defined in the Indenture), promptly give Dealer a written notice of such repurchase or Conversion Rate Adjustment Event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or Conversion Rate Adjustment Event, as the case may be, the number of outstanding Shares as determined on such day is (i) less than [__]</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be liable for any losses, claims, damages or liabilities (or expenses relating thereto) of any Indemnified Person that result from the bad faith, gross negligence or willful misconduct of such Indemnified Person. Counterparty shall not, without the prior written consent of the Indemnified Person, effect any settlement of any pending or threatened proceeding contemplated by this paragraph that is in respect of which any Indemnified Person is or could have been a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24" w:hanging="424"/>
        <w:spacing w:after="0"/>
        <w:tabs>
          <w:tab w:leader="none" w:pos="424" w:val="left"/>
        </w:tabs>
        <w:numPr>
          <w:ilvl w:val="0"/>
          <w:numId w:val="2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 w:lineRule="exact"/>
        <w:rPr>
          <w:rFonts w:ascii="Times New Roman" w:cs="Times New Roman" w:eastAsia="Times New Roman" w:hAnsi="Times New Roman"/>
          <w:sz w:val="27"/>
          <w:szCs w:val="27"/>
          <w:color w:val="auto"/>
          <w:vertAlign w:val="superscript"/>
        </w:rPr>
      </w:pPr>
    </w:p>
    <w:p>
      <w:pPr>
        <w:ind w:left="424" w:right="20" w:hanging="424"/>
        <w:spacing w:after="0" w:line="222" w:lineRule="auto"/>
        <w:tabs>
          <w:tab w:leader="none" w:pos="424" w:val="left"/>
        </w:tabs>
        <w:numPr>
          <w:ilvl w:val="0"/>
          <w:numId w:val="2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outstanding that, if repurchased, would cause Dealer’s current position in the Shares underlying the Transaction (including the number of Shares underlying any additional transaction if the greenshoe is exercised in full, any Shares under concurrent call option transactions, and any Shares under pre-existing call option transactions with Counterparty) to increase by 0.5%, based on Dealer with highest Applicable Percentage.</w:t>
      </w:r>
    </w:p>
    <w:p>
      <w:pPr>
        <w:ind w:left="424" w:right="20" w:hanging="424"/>
        <w:spacing w:after="0" w:line="222" w:lineRule="auto"/>
        <w:tabs>
          <w:tab w:leader="none" w:pos="424" w:val="left"/>
        </w:tabs>
        <w:numPr>
          <w:ilvl w:val="0"/>
          <w:numId w:val="2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outstanding that, if repurchased, would cause Dealer’s current position in the Shares underlying the Transaction (including the number of Shares underlying any additional transaction if the greenshoe is exercised in full, any Shares under concurrent call option transactions, and any Shares under pre-existing call option transactions with Counterparty) to increase by a further 0.5% from the threshold for the first Repurchase Notice, based on Dealer with highest Applicable Percentage.</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44" w:name="page245"/>
    <w:bookmarkEnd w:id="244"/>
    <w:p>
      <w:pPr>
        <w:ind w:left="5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Counterparty be responsible hereunder for any fees and expenses of more than one counsel (in addition to any local counsel) for all Indemnified Persons in connection with any suit, action, proceeding (including any governmental or regulatory investigation), claim or demand in the same jurisdiction. The indemnity and contribution agreements contained in this paragraph shall remain operative and in full force and effect regardless of the termination of the Transaction.</w:t>
      </w:r>
    </w:p>
    <w:p>
      <w:pPr>
        <w:spacing w:after="0" w:line="95" w:lineRule="exact"/>
        <w:rPr>
          <w:sz w:val="20"/>
          <w:szCs w:val="20"/>
          <w:color w:val="auto"/>
        </w:rPr>
      </w:pPr>
    </w:p>
    <w:p>
      <w:pPr>
        <w:ind w:left="540" w:right="20" w:hanging="532"/>
        <w:spacing w:after="0" w:line="261"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85" w:lineRule="exact"/>
        <w:rPr>
          <w:rFonts w:ascii="Times New Roman" w:cs="Times New Roman" w:eastAsia="Times New Roman" w:hAnsi="Times New Roman"/>
          <w:sz w:val="18"/>
          <w:szCs w:val="18"/>
          <w:color w:val="auto"/>
        </w:rPr>
      </w:pPr>
    </w:p>
    <w:p>
      <w:pPr>
        <w:ind w:left="540" w:right="420" w:hanging="532"/>
        <w:spacing w:after="0" w:line="267"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w:t>
      </w:r>
    </w:p>
    <w:p>
      <w:pPr>
        <w:spacing w:after="0" w:line="7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100" w:hanging="439"/>
        <w:spacing w:after="0" w:line="266" w:lineRule="auto"/>
        <w:tabs>
          <w:tab w:leader="none" w:pos="10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81" w:lineRule="exact"/>
        <w:rPr>
          <w:rFonts w:ascii="Times New Roman" w:cs="Times New Roman" w:eastAsia="Times New Roman" w:hAnsi="Times New Roman"/>
          <w:sz w:val="18"/>
          <w:szCs w:val="18"/>
          <w:color w:val="auto"/>
        </w:rPr>
      </w:pPr>
    </w:p>
    <w:p>
      <w:pPr>
        <w:ind w:left="1540" w:right="400" w:hanging="533"/>
        <w:spacing w:after="0" w:line="282" w:lineRule="auto"/>
        <w:tabs>
          <w:tab w:leader="none" w:pos="154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67" w:lineRule="exact"/>
        <w:rPr>
          <w:rFonts w:ascii="Times New Roman" w:cs="Times New Roman" w:eastAsia="Times New Roman" w:hAnsi="Times New Roman"/>
          <w:sz w:val="18"/>
          <w:szCs w:val="18"/>
          <w:color w:val="auto"/>
        </w:rPr>
      </w:pPr>
    </w:p>
    <w:p>
      <w:pPr>
        <w:ind w:left="1540" w:right="380" w:hanging="533"/>
        <w:spacing w:after="0" w:line="282" w:lineRule="auto"/>
        <w:tabs>
          <w:tab w:leader="none" w:pos="154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7701(a)(30)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40" w:hanging="533"/>
        <w:spacing w:after="0" w:line="258" w:lineRule="auto"/>
        <w:tabs>
          <w:tab w:leader="none" w:pos="154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88" w:lineRule="exact"/>
        <w:rPr>
          <w:rFonts w:ascii="Times New Roman" w:cs="Times New Roman" w:eastAsia="Times New Roman" w:hAnsi="Times New Roman"/>
          <w:sz w:val="18"/>
          <w:szCs w:val="18"/>
          <w:color w:val="auto"/>
        </w:rPr>
      </w:pPr>
    </w:p>
    <w:p>
      <w:pPr>
        <w:jc w:val="both"/>
        <w:ind w:left="1540" w:right="80" w:hanging="533"/>
        <w:spacing w:after="0" w:line="266" w:lineRule="auto"/>
        <w:tabs>
          <w:tab w:leader="none" w:pos="154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be required to pay the transferee or assignee on any payment date an amount under Section 2(d)(i)(4) of the Agreement greater than an amount that Dealer would have been required to pay to Counterparty in the absence of such transfer or assignment;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60" w:top="270" w:right="459" w:bottom="1440" w:gutter="0" w:footer="0" w:header="0"/>
        </w:sectPr>
      </w:pPr>
    </w:p>
    <w:bookmarkStart w:id="245" w:name="page246"/>
    <w:bookmarkEnd w:id="245"/>
    <w:p>
      <w:pPr>
        <w:ind w:left="979" w:right="840" w:hanging="533"/>
        <w:spacing w:after="0" w:line="282" w:lineRule="auto"/>
        <w:tabs>
          <w:tab w:leader="none" w:pos="97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Event of Default, Potential Event of Default or Termination Event will not occur as a result of such transfer or assignment;</w:t>
      </w:r>
    </w:p>
    <w:p>
      <w:pPr>
        <w:spacing w:after="0" w:line="67" w:lineRule="exact"/>
        <w:rPr>
          <w:rFonts w:ascii="Times New Roman" w:cs="Times New Roman" w:eastAsia="Times New Roman" w:hAnsi="Times New Roman"/>
          <w:sz w:val="18"/>
          <w:szCs w:val="18"/>
          <w:color w:val="auto"/>
        </w:rPr>
      </w:pPr>
    </w:p>
    <w:p>
      <w:pPr>
        <w:ind w:left="979" w:right="320" w:hanging="533"/>
        <w:spacing w:after="0" w:line="266" w:lineRule="auto"/>
        <w:tabs>
          <w:tab w:leader="none" w:pos="97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cause the transferee or assignee to make such Payee Tax Representations and to provide such tax documentation as may be reasonably requested by Dealer to permit Dealer to determine that results described in clauses (D) and (E) will not occur upon or after such transfer or assignment; and</w:t>
      </w:r>
    </w:p>
    <w:p>
      <w:pPr>
        <w:spacing w:after="0" w:line="81" w:lineRule="exact"/>
        <w:rPr>
          <w:rFonts w:ascii="Times New Roman" w:cs="Times New Roman" w:eastAsia="Times New Roman" w:hAnsi="Times New Roman"/>
          <w:sz w:val="18"/>
          <w:szCs w:val="18"/>
          <w:color w:val="auto"/>
        </w:rPr>
      </w:pPr>
    </w:p>
    <w:p>
      <w:pPr>
        <w:ind w:left="979" w:right="500" w:hanging="533"/>
        <w:spacing w:after="0" w:line="282" w:lineRule="auto"/>
        <w:tabs>
          <w:tab w:leader="none" w:pos="97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67" w:lineRule="exact"/>
        <w:rPr>
          <w:rFonts w:ascii="Times New Roman" w:cs="Times New Roman" w:eastAsia="Times New Roman" w:hAnsi="Times New Roman"/>
          <w:sz w:val="18"/>
          <w:szCs w:val="18"/>
          <w:color w:val="auto"/>
        </w:rPr>
      </w:pPr>
    </w:p>
    <w:p>
      <w:pPr>
        <w:ind w:left="439" w:hanging="439"/>
        <w:spacing w:after="0" w:line="266" w:lineRule="auto"/>
        <w:tabs>
          <w:tab w:leader="none" w:pos="439"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may transfer or assign all or any part of its rights or obligations under the Transaction (A) without Counterparty’s consent,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its ultimate parent, or (B) with Counterparty’s prior written consent (such consent not to be unreasonably withheld) to any other third party with a long-term issuer rating equal to or better than the lesser of (1) the credit rating of Dealer at the time of the transfer or assignment and (2) A- by Standard and Poor’s Financial Services LLC or its successor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A3 by Moody’s Investor Service, Inc.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in the case of any such transfer or assignment under clause (A) or (B) above, (I) an Event of Default, Potential Event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Default or Termination Event will not occur as a result of such transfer or assignment, (II) at the time of such transfer or assignment either (i) each of Dealer and the transferee or assignee in any such transfer or assignment is a “dealer in securities” within the meaning of Section 475(c)(1) of the Code or (ii) the transfer or assignment does not result in a deemed exchange by Counterparty within the meaning of Section 1001 of the Code; and (III) as a result of any such transfer or assignment (a) Counterparty will not (including, for the avoidance of doubt, after giving effect to any indemnity from the transferee or assignee to Counterparty provided in connection with such transfer or assignment),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or assignment (except to the extent such lower amount or number results from a change in law after the date of such transfer or assignment), and (b) Dealer shall cause the transferee or assignee to make such Payee Tax Representations and to provide such tax documentation as may be reasonably requested by Counterparty to permit Counterparty to determine that the results described in clause (III)(a) will not occur upon or after such transfer or assignment. If at any time at which (A) the Section 16 Percentage exceeds 8%,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7"/>
          <w:szCs w:val="17"/>
          <w:b w:val="1"/>
          <w:bCs w:val="1"/>
          <w:color w:val="auto"/>
        </w:rPr>
        <w:t>Excess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Ownership Position</w:t>
      </w:r>
      <w:r>
        <w:rPr>
          <w:rFonts w:ascii="Times New Roman" w:cs="Times New Roman" w:eastAsia="Times New Roman" w:hAnsi="Times New Roman"/>
          <w:sz w:val="17"/>
          <w:szCs w:val="17"/>
          <w:color w:val="auto"/>
        </w:rPr>
        <w:t>”), Dealer is unable after using its commercially reasonable efforts to effect a transfer or assignment of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7"/>
          <w:szCs w:val="17"/>
          <w:b w:val="1"/>
          <w:bCs w:val="1"/>
          <w:color w:val="auto"/>
        </w:rPr>
        <w:t>Terminated Portion</w:t>
      </w:r>
      <w:r>
        <w:rPr>
          <w:rFonts w:ascii="Times New Roman" w:cs="Times New Roman" w:eastAsia="Times New Roman" w:hAnsi="Times New Roman"/>
          <w:sz w:val="17"/>
          <w:szCs w:val="17"/>
          <w:color w:val="auto"/>
        </w:rPr>
        <w:t>”), such that following such partial termination no Excess Ownership Position exists. In the event that Dealer so designates an Early Termination Date with respect to a</w:t>
      </w:r>
    </w:p>
    <w:p>
      <w:pPr>
        <w:spacing w:after="0" w:line="34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9"/>
          </w:cols>
          <w:pgMar w:left="1421" w:top="270" w:right="459" w:bottom="1440" w:gutter="0" w:footer="0" w:header="0"/>
        </w:sectPr>
      </w:pPr>
    </w:p>
    <w:bookmarkStart w:id="246" w:name="page247"/>
    <w:bookmarkEnd w:id="246"/>
    <w:p>
      <w:pPr>
        <w:ind w:left="100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were not the Affected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calculating any amount due following such designation, Dealer shall act in good faith and in a commercially reasonable manner and upon written request from Counterparty, Dealer will promptly provide to Counterparty a statement displaying in reasonable detail the basis for such calculation (it being understood that Dealer shall not be required to disclose any proprietary models or information or confidential models or information used by it in connection with such calculation).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w:t>
      </w:r>
    </w:p>
    <w:p>
      <w:pPr>
        <w:spacing w:after="0" w:line="10" w:lineRule="exact"/>
        <w:rPr>
          <w:sz w:val="20"/>
          <w:szCs w:val="20"/>
          <w:color w:val="auto"/>
        </w:rPr>
      </w:pPr>
    </w:p>
    <w:p>
      <w:pPr>
        <w:ind w:left="1000" w:right="20" w:firstLine="7"/>
        <w:spacing w:after="0" w:line="251" w:lineRule="auto"/>
        <w:tabs>
          <w:tab w:leader="none" w:pos="1255"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98"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86"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860" w:top="270" w:right="459" w:bottom="1440" w:gutter="0" w:footer="0" w:header="0"/>
        </w:sectPr>
      </w:pPr>
    </w:p>
    <w:bookmarkStart w:id="247" w:name="page248"/>
    <w:bookmarkEnd w:id="247"/>
    <w:p>
      <w:pPr>
        <w:ind w:left="1000" w:right="180" w:hanging="439"/>
        <w:spacing w:after="0" w:line="266" w:lineRule="auto"/>
        <w:tabs>
          <w:tab w:leader="none" w:pos="10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w:t>
      </w:r>
    </w:p>
    <w:p>
      <w:pPr>
        <w:spacing w:after="0" w:line="81"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67"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or Combination Settlement terms set forth above were to apply to the Nominal Settlement Date, then the Net Share Settlement or Combination Settlement terms, as the case may be, will apply on each Staggered Settlement Date, except that the number of Shares otherwise deliverable pursuant to such terms will be allocated among such Staggered Settlement Dates as specified by Dealer in the notice referred to in clause (i) above.</w:t>
      </w:r>
    </w:p>
    <w:p>
      <w:pPr>
        <w:spacing w:after="0" w:line="8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Dealer agency language, if 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Adjustments</w:t>
      </w:r>
      <w:r>
        <w:rPr>
          <w:rFonts w:ascii="Times New Roman" w:cs="Times New Roman" w:eastAsia="Times New Roman" w:hAnsi="Times New Roman"/>
          <w:sz w:val="18"/>
          <w:szCs w:val="18"/>
          <w:color w:val="auto"/>
        </w:rPr>
        <w:t>. For the avoidance of doubt, whenever the Calculation Agent is called upon to make an adjustment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Confirmation or the Equity Definitions to take into account the effect of an event, the Calculation Agent shall make such adjustment by reference to the effect of such event on the Hedging Party, assuming that the Hedging Party maintains a commercially reasonable hedge position.</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40" w:hanging="439"/>
        <w:spacing w:after="0" w:line="270" w:lineRule="auto"/>
        <w:tabs>
          <w:tab w:leader="none" w:pos="1000"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Confirmation, if an event of default with respect to Counterparty occurs under the terms of the Convertible Notes as set forth in Section 6.01 of the Indenture that results in an acceleration of the Convertible Notes pursuant to the terms of the Indenture, then such event of default shall constitute an Additional Termination Event applicable to the Transaction and, with respect to such Additional Termination Event, (A) Counterparty shall be deemed to be the sole Affected Party,</w:t>
      </w:r>
    </w:p>
    <w:p>
      <w:pPr>
        <w:spacing w:after="0" w:line="2" w:lineRule="exact"/>
        <w:rPr>
          <w:rFonts w:ascii="Times New Roman" w:cs="Times New Roman" w:eastAsia="Times New Roman" w:hAnsi="Times New Roman"/>
          <w:sz w:val="17"/>
          <w:szCs w:val="17"/>
          <w:color w:val="auto"/>
        </w:rPr>
      </w:pPr>
    </w:p>
    <w:p>
      <w:pPr>
        <w:ind w:left="1000" w:right="9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Transaction shall be the sole Affected Transaction and (C) Dealer shall be the party entitled to designate an Early Termination Date pursuant to Section 6(b) of the Agreement.</w:t>
      </w:r>
    </w:p>
    <w:p>
      <w:pPr>
        <w:spacing w:after="0" w:line="86" w:lineRule="exact"/>
        <w:rPr>
          <w:rFonts w:ascii="Times New Roman" w:cs="Times New Roman" w:eastAsia="Times New Roman" w:hAnsi="Times New Roman"/>
          <w:sz w:val="17"/>
          <w:szCs w:val="17"/>
          <w:color w:val="auto"/>
        </w:rPr>
      </w:pPr>
    </w:p>
    <w:p>
      <w:pPr>
        <w:ind w:left="1000" w:right="20" w:hanging="439"/>
        <w:spacing w:after="0" w:line="270" w:lineRule="auto"/>
        <w:tabs>
          <w:tab w:leader="none" w:pos="1000"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(x) any repurchase and cancellation of Convertible Notes pursuant to Article 15 of the Indenture, Counterparty shall notify Dealer in writing of such repurchase and cancellation and the number of Convertible Notes so repurchased and cancelled or (y) any repurchase and cancellation of Convertible Notes not described in clause (x) above, Counterparty may notify Dealer in writing of such repurchase and cancellation and the number of Convertible Notes so repurchased and cancelled (any such notice in</w:t>
      </w:r>
    </w:p>
    <w:p>
      <w:pPr>
        <w:spacing w:after="0" w:line="2" w:lineRule="exact"/>
        <w:rPr>
          <w:rFonts w:ascii="Times New Roman" w:cs="Times New Roman" w:eastAsia="Times New Roman" w:hAnsi="Times New Roman"/>
          <w:sz w:val="17"/>
          <w:szCs w:val="17"/>
          <w:color w:val="auto"/>
        </w:rPr>
      </w:pPr>
    </w:p>
    <w:p>
      <w:pPr>
        <w:ind w:left="1000" w:right="1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or (y), a “</w:t>
      </w:r>
      <w:r>
        <w:rPr>
          <w:rFonts w:ascii="Times New Roman" w:cs="Times New Roman" w:eastAsia="Times New Roman" w:hAnsi="Times New Roman"/>
          <w:sz w:val="17"/>
          <w:szCs w:val="17"/>
          <w:b w:val="1"/>
          <w:bCs w:val="1"/>
          <w:color w:val="auto"/>
        </w:rPr>
        <w:t>Repayment Notice</w:t>
      </w:r>
      <w:r>
        <w:rPr>
          <w:rFonts w:ascii="Times New Roman" w:cs="Times New Roman" w:eastAsia="Times New Roman" w:hAnsi="Times New Roman"/>
          <w:sz w:val="17"/>
          <w:szCs w:val="17"/>
          <w:color w:val="auto"/>
        </w:rPr>
        <w:t>”). Any Repayment Notice delivered pursuant to clause (y) of the immediately preceding sentence shall include a written representation and warranty by Counterparty that, as of the date of such Repayment Notice, Counterparty is not in possession of any material non-public information regarding Counterparty or the Shares. Notwithstanding anything to the contrary in this Confirmation, the receipt by Dealer from Counterparty of any Repayment Notice within the applicable time period set forth in the second immediately preceding sentence shall constitute an Additional Termination Event as provided in this Section 9(i)(ii). Upon receipt of any such Repayment Notice and the related written representation and warranty, Dealer shall promptly designate an Exchange Business Day following receipt of such Repayment Notice (which in no event shall be earlier than the related settlement date for such Convertible Notes and shall be on or as promptly as reasonably practicable after the later of</w:t>
      </w:r>
    </w:p>
    <w:p>
      <w:pPr>
        <w:spacing w:after="0" w:line="1" w:lineRule="exact"/>
        <w:rPr>
          <w:rFonts w:ascii="Times New Roman" w:cs="Times New Roman" w:eastAsia="Times New Roman" w:hAnsi="Times New Roman"/>
          <w:sz w:val="17"/>
          <w:szCs w:val="17"/>
          <w:color w:val="auto"/>
        </w:rPr>
      </w:pPr>
    </w:p>
    <w:p>
      <w:pPr>
        <w:ind w:left="10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related repurchase settlement date for the relevant repurchase and cancellation of Convertible Notes and (y) the date on which Counterparty provides the Repayment Notice described in this Section 9(i)(ii)) as an Early Termination Date with respect to the portion of the Transaction corresponding to</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60" w:top="270" w:right="459" w:bottom="1440" w:gutter="0" w:footer="0" w:header="0"/>
        </w:sectPr>
      </w:pPr>
    </w:p>
    <w:bookmarkStart w:id="248" w:name="page249"/>
    <w:bookmarkEnd w:id="248"/>
    <w:p>
      <w:pPr>
        <w:ind w:left="1424" w:right="4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number of Options (the “</w:t>
      </w:r>
      <w:r>
        <w:rPr>
          <w:rFonts w:ascii="Times New Roman" w:cs="Times New Roman" w:eastAsia="Times New Roman" w:hAnsi="Times New Roman"/>
          <w:sz w:val="17"/>
          <w:szCs w:val="17"/>
          <w:b w:val="1"/>
          <w:bCs w:val="1"/>
          <w:color w:val="auto"/>
        </w:rPr>
        <w:t>Repurchase Options</w:t>
      </w:r>
      <w:r>
        <w:rPr>
          <w:rFonts w:ascii="Times New Roman" w:cs="Times New Roman" w:eastAsia="Times New Roman" w:hAnsi="Times New Roman"/>
          <w:sz w:val="17"/>
          <w:szCs w:val="17"/>
          <w:color w:val="auto"/>
        </w:rPr>
        <w:t>”) equal to the lesser of (A) the number of such Convertible Notes specified in such Repayment Notice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“Repurchase Options” (as defined in the Base Call Option Confirmation), if any, that relate to such Convertible Notes]</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17"/>
          <w:szCs w:val="17"/>
          <w:color w:val="auto"/>
        </w:rPr>
        <w:t xml:space="preserve"> and (B) the Number of Options as of the date Dealer designates such Early Termination Date and, as of such date, the Number of Options shall be reduced by the number of Repurchase Options. Any payment hereunder with respect to such termination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payment shall not be greater than the product of</w:t>
      </w:r>
    </w:p>
    <w:p>
      <w:pPr>
        <w:spacing w:after="0" w:line="5" w:lineRule="exact"/>
        <w:rPr>
          <w:sz w:val="20"/>
          <w:szCs w:val="20"/>
          <w:color w:val="auto"/>
        </w:rPr>
      </w:pPr>
    </w:p>
    <w:p>
      <w:pPr>
        <w:ind w:left="1424" w:right="200" w:firstLine="7"/>
        <w:spacing w:after="0" w:line="253" w:lineRule="auto"/>
        <w:tabs>
          <w:tab w:leader="none" w:pos="167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Percentage and (y) the excess of (I) the aggregate amount paid by Counterparty in respect of Convertible Notes repurchased and cancelled corresponding to the Repurchase Options over (II) the aggregate Synthetic Instrument Adjusted Issue Price (determined by the Calculation Agent pursuant to the provisions set forth in Section 9(i)(iii) as if the date of payment for the resulting Additional Termination Event were the Unwind Date).</w:t>
      </w:r>
    </w:p>
    <w:p>
      <w:pPr>
        <w:spacing w:after="0" w:line="94"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14.03 of the Indenture in connection with a “Make-Whole Fundamental Change” (as defined in the Indenture) shall constitute an Additional Termination Event as provided in this Section 9(i)(iii).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Make-Whole Conversion Options</w:t>
      </w:r>
      <w:r>
        <w:rPr>
          <w:rFonts w:ascii="Times New Roman" w:cs="Times New Roman" w:eastAsia="Times New Roman" w:hAnsi="Times New Roman"/>
          <w:sz w:val="17"/>
          <w:szCs w:val="17"/>
          <w:color w:val="auto"/>
        </w:rPr>
        <w:t>”) equal to the lesser of (A) the number of such Options specified in such Notice of Exercise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“Make-Whole Conversion Options” (as defined in the Base Call Option Confirmation), if any, that relate to such Convertible Notes]</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17"/>
          <w:szCs w:val="17"/>
          <w:color w:val="auto"/>
        </w:rPr>
        <w:t xml:space="preserve">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Times New Roman" w:cs="Times New Roman" w:eastAsia="Times New Roman" w:hAnsi="Times New Roman"/>
          <w:sz w:val="17"/>
          <w:szCs w:val="17"/>
          <w:b w:val="1"/>
          <w:bCs w:val="1"/>
          <w:color w:val="auto"/>
        </w:rPr>
        <w:t>Make-Whole Unwind Payment</w:t>
      </w:r>
      <w:r>
        <w:rPr>
          <w:rFonts w:ascii="Times New Roman" w:cs="Times New Roman" w:eastAsia="Times New Roman" w:hAnsi="Times New Roman"/>
          <w:sz w:val="17"/>
          <w:szCs w:val="17"/>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Option Entitlement that result from corresponding adjustments to the “Conversion Rate” (as defined in the Indenture) pursuant to Section 14.03(a) of the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Make-Whole Unwind Payment shall not be greater than the product of (x) the Applicable Percentage and (y) the excess of (I) (1) the number of Make-Whole Conversion Options,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(2) the “Conversion Rate” (as defined in the Indenture, and after taking into account any applicable adjustments to the Conversion Rate pursuant to Section 14.03(a) of the Indenture),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(3) the Applicable Limit Price on the date of payment for the relevant Additional Termination Event over (II) the aggregate Synthetic Instrument Adjusted Issue Price with respect to the related Convertible Notes as of the date of payment, as determined by the Calculation Agent in a commercially reasonable manner. “</w:t>
      </w:r>
      <w:r>
        <w:rPr>
          <w:rFonts w:ascii="Times New Roman" w:cs="Times New Roman" w:eastAsia="Times New Roman" w:hAnsi="Times New Roman"/>
          <w:sz w:val="17"/>
          <w:szCs w:val="17"/>
          <w:b w:val="1"/>
          <w:bCs w:val="1"/>
          <w:color w:val="auto"/>
        </w:rPr>
        <w:t>Synthetic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715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24" w:hanging="424"/>
        <w:spacing w:after="0"/>
        <w:tabs>
          <w:tab w:leader="none" w:pos="424" w:val="left"/>
        </w:tabs>
        <w:numPr>
          <w:ilvl w:val="0"/>
          <w:numId w:val="2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Additional Call Option Confirmation only.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 only.</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249" w:name="page250"/>
    <w:bookmarkEnd w:id="249"/>
    <w:p>
      <w:pPr>
        <w:ind w:left="1424" w:right="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 Adjusted Issue Price</w:t>
      </w:r>
      <w:r>
        <w:rPr>
          <w:rFonts w:ascii="Times New Roman" w:cs="Times New Roman" w:eastAsia="Times New Roman" w:hAnsi="Times New Roman"/>
          <w:sz w:val="18"/>
          <w:szCs w:val="18"/>
          <w:color w:val="auto"/>
        </w:rPr>
        <w:t>” shall mean the amount determined by the Calculation Agent by reference to the table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based on the date of payment of the amount due with respect to the relevant Make-Whole Conversion Options (the “</w:t>
      </w:r>
      <w:r>
        <w:rPr>
          <w:rFonts w:ascii="Times New Roman" w:cs="Times New Roman" w:eastAsia="Times New Roman" w:hAnsi="Times New Roman"/>
          <w:sz w:val="18"/>
          <w:szCs w:val="18"/>
          <w:b w:val="1"/>
          <w:bCs w:val="1"/>
          <w:color w:val="auto"/>
        </w:rPr>
        <w:t>Unwind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If the relevant Unwind Date is not listed below, the amount in the preceding sentence shall be determined by the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by reference to the table below using a linear interpolation between the lower and higher Synthetic Instrument Adjusted Issue Prices for the Unwind Dates immediately preceding and immediately following the relevant Unwind Date.</w:t>
      </w:r>
    </w:p>
    <w:p>
      <w:pPr>
        <w:spacing w:after="0" w:line="19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Unwind Date</w:t>
            </w:r>
          </w:p>
        </w:tc>
        <w:tc>
          <w:tcPr>
            <w:tcW w:w="5360" w:type="dxa"/>
            <w:vAlign w:val="bottom"/>
            <w:vMerge w:val="restart"/>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Synthetic Instrument</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Adjusted Issue Price</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 ], 2026</w:t>
            </w: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2027</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2032</w:t>
            </w:r>
          </w:p>
        </w:tc>
        <w:tc>
          <w:tcPr>
            <w:tcW w:w="13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USD 1,000.00]</w:t>
            </w:r>
            <w:r>
              <w:rPr>
                <w:rFonts w:ascii="Times New Roman" w:cs="Times New Roman" w:eastAsia="Times New Roman" w:hAnsi="Times New Roman"/>
                <w:sz w:val="25"/>
                <w:szCs w:val="25"/>
                <w:color w:val="auto"/>
                <w:vertAlign w:val="superscript"/>
              </w:rPr>
              <w:t>23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4" w:right="20"/>
        <w:spacing w:after="0" w:line="254" w:lineRule="auto"/>
        <w:rPr>
          <w:sz w:val="20"/>
          <w:szCs w:val="20"/>
          <w:color w:val="auto"/>
        </w:rPr>
      </w:pPr>
      <w:r>
        <w:rPr>
          <w:rFonts w:ascii="Times New Roman" w:cs="Times New Roman" w:eastAsia="Times New Roman" w:hAnsi="Times New Roman"/>
          <w:sz w:val="18"/>
          <w:szCs w:val="18"/>
          <w:color w:val="auto"/>
        </w:rPr>
        <w:t xml:space="preserve">Counterparty may irrevocably elect in the relevant Notice of Exercise to receive any Make-Whole Unwind Payment in Shares, in which case, in lieu of making such Make-Whole Unwind Payment as set forth above, Dealer shall deliver to Counterparty, within a commercially reasonable period of time after such designation as determined by Dealer (taking into account existing liquidity conditions and Dealer’s hedging and hedge unwind activity or settlement activity in connection with such delivery) a number of Shares equal to (A) such Make-Whole Unwind Payment,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a price per Share determined by the Calculation Agent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Section 9(l), Counterparty may elect to receive a Make-Whole Unwind Payment in Shares only if Counterparty represents and warrants to Dealer in writing on the date of such election that Counterparty is not in possession of any material non-public information regarding Counterparty or the Shares.</w:t>
      </w:r>
    </w:p>
    <w:p>
      <w:pPr>
        <w:spacing w:after="0" w:line="95" w:lineRule="exact"/>
        <w:rPr>
          <w:sz w:val="20"/>
          <w:szCs w:val="20"/>
          <w:color w:val="auto"/>
        </w:rPr>
      </w:pPr>
    </w:p>
    <w:p>
      <w:pPr>
        <w:ind w:left="964" w:hanging="532"/>
        <w:spacing w:after="0" w:line="256" w:lineRule="auto"/>
        <w:tabs>
          <w:tab w:leader="none" w:pos="9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 Section 12.9(b)(i) of the Equity Definitions is hereby amended by (1) replacing “either party may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“Dealer may elect or, solely in the case of a Change in Law pursuant to clause (Y) of Section 12.9(a)(ii) in connection with which Counterparty is the party that will incur the materially increased cost that gives rise to such Change in Law, so long as Counterparty notifies Dealer of such occurrence within one Exchange Business Day and concurrently provides objective evidence of such occurrence to Dealer and delivers to Dealer a written representation and warranty by Counterparty that, as of the date of such notice, Counterparty is not in possession of any material non-public information regarding Counterparty or the Shares, Dealer shall elect” and (2) replacing “notice to the other party” with “notice to Counterparty” in the first sentence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3" w:lineRule="exact"/>
        <w:rPr>
          <w:sz w:val="20"/>
          <w:szCs w:val="20"/>
          <w:color w:val="auto"/>
        </w:rPr>
      </w:pPr>
    </w:p>
    <w:p>
      <w:pPr>
        <w:ind w:left="424" w:hanging="424"/>
        <w:spacing w:after="0"/>
        <w:tabs>
          <w:tab w:leader="none" w:pos="424" w:val="left"/>
        </w:tabs>
        <w:numPr>
          <w:ilvl w:val="0"/>
          <w:numId w:val="2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6-year tranche.</w:t>
      </w:r>
    </w:p>
    <w:p>
      <w:pPr>
        <w:sectPr>
          <w:pgSz w:w="11900" w:h="16838" w:orient="portrait"/>
          <w:cols w:equalWidth="0" w:num="1">
            <w:col w:w="11004"/>
          </w:cols>
          <w:pgMar w:left="436" w:top="266" w:right="459" w:bottom="1440" w:gutter="0" w:footer="0" w:header="0"/>
        </w:sectPr>
      </w:pPr>
    </w:p>
    <w:bookmarkStart w:id="250" w:name="page251"/>
    <w:bookmarkEnd w:id="250"/>
    <w:p>
      <w:pPr>
        <w:ind w:left="532" w:right="80" w:hanging="532"/>
        <w:spacing w:after="0" w:line="284" w:lineRule="auto"/>
        <w:tabs>
          <w:tab w:leader="none" w:pos="5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Setoff</w:t>
      </w:r>
      <w:r>
        <w:rPr>
          <w:rFonts w:ascii="Times New Roman" w:cs="Times New Roman" w:eastAsia="Times New Roman" w:hAnsi="Times New Roman"/>
          <w:sz w:val="18"/>
          <w:szCs w:val="18"/>
          <w:color w:val="auto"/>
        </w:rPr>
        <w:t>. Each party waives any and all rights it may have to set off obligations arising under the Agreement and the Transaction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obligations between the parties, whether arising under any other agreement, applicable law or otherwise.</w:t>
      </w:r>
    </w:p>
    <w:p>
      <w:pPr>
        <w:spacing w:after="0" w:line="63" w:lineRule="exact"/>
        <w:rPr>
          <w:rFonts w:ascii="Times New Roman" w:cs="Times New Roman" w:eastAsia="Times New Roman" w:hAnsi="Times New Roman"/>
          <w:sz w:val="18"/>
          <w:szCs w:val="18"/>
          <w:color w:val="auto"/>
        </w:rPr>
      </w:pPr>
    </w:p>
    <w:p>
      <w:pPr>
        <w:ind w:left="532" w:right="40" w:hanging="532"/>
        <w:spacing w:after="0" w:line="254" w:lineRule="auto"/>
        <w:tabs>
          <w:tab w:leader="none" w:pos="5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in respect of the Transaction,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is payable by Dealer to Counterparty (i) pursuant to Section 12.7 or Section 12.9 of the Equity Definitions or (ii) pursuant to Section 6(d)(ii) and 6(e) of the Agreement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the Tender Offer Date, the Announcement Date (in the case of Nationalization, Insolvency or Delisting), the Early Termination Date or date of cancellation, as applicable, of its election that the Share Termination Alternative shall not apply, (b) Counterparty remakes the representation set forth in Section 8(f) as of the date of such election and (c) Dealer agrees, in its sole discretion, to such election, in which case the provisions of Section 12.7 or Section 12.9 of the Equity Definitions, or the provisions of Section 6(d)(ii) and 6(e) of the Agreement, as the case may be, shall apply.</w:t>
      </w:r>
    </w:p>
    <w:p>
      <w:pPr>
        <w:sectPr>
          <w:pgSz w:w="11900" w:h="16838" w:orient="portrait"/>
          <w:cols w:equalWidth="0" w:num="1">
            <w:col w:w="10512"/>
          </w:cols>
          <w:pgMar w:left="868" w:top="268" w:right="519" w:bottom="1440" w:gutter="0" w:footer="0" w:header="0"/>
        </w:sectPr>
      </w:pPr>
    </w:p>
    <w:p>
      <w:pPr>
        <w:spacing w:after="0" w:line="214"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75" w:lineRule="exact"/>
        <w:rPr>
          <w:sz w:val="20"/>
          <w:szCs w:val="20"/>
          <w:color w:val="auto"/>
        </w:rPr>
      </w:pPr>
    </w:p>
    <w:p>
      <w:pPr>
        <w:sectPr>
          <w:pgSz w:w="11900" w:h="16838" w:orient="portrait"/>
          <w:cols w:equalWidth="0" w:num="2">
            <w:col w:w="2812" w:space="680"/>
            <w:col w:w="7020"/>
          </w:cols>
          <w:pgMar w:left="868" w:top="268" w:right="519" w:bottom="1440" w:gutter="0" w:footer="0" w:header="0"/>
          <w:type w:val="continuous"/>
        </w:sectPr>
      </w:pPr>
    </w:p>
    <w:p>
      <w:pPr>
        <w:ind w:left="572"/>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 xml:space="preserve">A number of Share Termination Delivery Units, as calculated by the Calculation Agent, equal to the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75" w:lineRule="exact"/>
        <w:rPr>
          <w:sz w:val="20"/>
          <w:szCs w:val="20"/>
          <w:color w:val="auto"/>
        </w:rPr>
      </w:pPr>
    </w:p>
    <w:p>
      <w:pPr>
        <w:sectPr>
          <w:pgSz w:w="11900" w:h="16838" w:orient="portrait"/>
          <w:cols w:equalWidth="0" w:num="2">
            <w:col w:w="3292" w:space="200"/>
            <w:col w:w="7020"/>
          </w:cols>
          <w:pgMar w:left="868" w:top="268" w:right="519" w:bottom="1440" w:gutter="0" w:footer="0" w:header="0"/>
          <w:type w:val="continuous"/>
        </w:sectPr>
      </w:pPr>
    </w:p>
    <w:p>
      <w:pPr>
        <w:ind w:left="572"/>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the purchase price paid in connection with the purchase of Share Termination Delivery Property.</w:t>
      </w:r>
    </w:p>
    <w:p>
      <w:pPr>
        <w:spacing w:after="0" w:line="79" w:lineRule="exact"/>
        <w:rPr>
          <w:sz w:val="20"/>
          <w:szCs w:val="20"/>
          <w:color w:val="auto"/>
        </w:rPr>
      </w:pPr>
    </w:p>
    <w:p>
      <w:pPr>
        <w:sectPr>
          <w:pgSz w:w="11900" w:h="16838" w:orient="portrait"/>
          <w:cols w:equalWidth="0" w:num="2">
            <w:col w:w="2772" w:space="720"/>
            <w:col w:w="7020"/>
          </w:cols>
          <w:pgMar w:left="868" w:top="268" w:right="519" w:bottom="1440" w:gutter="0" w:footer="0" w:header="0"/>
          <w:type w:val="continuous"/>
        </w:sectPr>
      </w:pPr>
    </w:p>
    <w:p>
      <w:pPr>
        <w:ind w:left="572"/>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One Share or, if a Nationalization, Insolvency or Merger Event has occurred and a corresponding adjustment to the Transaction has been made, a unit consisting of the type and amount of such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16" w:lineRule="exact"/>
        <w:rPr>
          <w:sz w:val="20"/>
          <w:szCs w:val="20"/>
          <w:color w:val="auto"/>
        </w:rPr>
      </w:pPr>
    </w:p>
    <w:p>
      <w:pPr>
        <w:sectPr>
          <w:pgSz w:w="11900" w:h="16838" w:orient="portrait"/>
          <w:cols w:equalWidth="0" w:num="2">
            <w:col w:w="2992" w:space="500"/>
            <w:col w:w="7020"/>
          </w:cols>
          <w:pgMar w:left="868" w:top="268" w:right="519" w:bottom="1440" w:gutter="0" w:footer="0" w:header="0"/>
          <w:type w:val="continuous"/>
        </w:sectPr>
      </w:pPr>
    </w:p>
    <w:p>
      <w:pPr>
        <w:jc w:val="center"/>
        <w:ind w:right="348"/>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12"/>
          </w:cols>
          <w:pgMar w:left="868" w:top="268" w:right="519" w:bottom="1440" w:gutter="0" w:footer="0" w:header="0"/>
          <w:type w:val="continuous"/>
        </w:sectPr>
      </w:pPr>
    </w:p>
    <w:bookmarkStart w:id="251" w:name="page252"/>
    <w:bookmarkEnd w:id="251"/>
    <w:p>
      <w:pPr>
        <w:ind w:left="58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-274955</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780" w:space="720"/>
            <w:col w:w="7080"/>
          </w:cols>
          <w:pgMar w:left="860" w:top="378" w:right="459" w:bottom="1440" w:gutter="0" w:footer="0" w:header="0"/>
        </w:sectPr>
      </w:pPr>
    </w:p>
    <w:p>
      <w:pPr>
        <w:ind w:left="58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92" w:lineRule="exact"/>
        <w:rPr>
          <w:sz w:val="20"/>
          <w:szCs w:val="20"/>
          <w:color w:val="auto"/>
        </w:rPr>
      </w:pPr>
    </w:p>
    <w:p>
      <w:pPr>
        <w:sectPr>
          <w:pgSz w:w="11900" w:h="16838" w:orient="portrait"/>
          <w:cols w:equalWidth="0" w:num="2">
            <w:col w:w="2780" w:space="720"/>
            <w:col w:w="7080"/>
          </w:cols>
          <w:pgMar w:left="860" w:top="378" w:right="459" w:bottom="1440" w:gutter="0" w:footer="0" w:header="0"/>
          <w:type w:val="continuous"/>
        </w:sectPr>
      </w:pPr>
    </w:p>
    <w:p>
      <w:pPr>
        <w:ind w:left="540" w:right="100" w:hanging="532"/>
        <w:spacing w:after="0" w:line="256"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color w:val="auto"/>
        </w:rPr>
        <w:t>. Counterparty hereby agrees that if, in the good faith reasonable judgment of Dealer based on the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xml:space="preserve">”)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w:t>
      </w:r>
    </w:p>
    <w:p>
      <w:pPr>
        <w:spacing w:after="0" w:line="4" w:lineRule="exact"/>
        <w:rPr>
          <w:rFonts w:ascii="Times New Roman" w:cs="Times New Roman" w:eastAsia="Times New Roman" w:hAnsi="Times New Roman"/>
          <w:sz w:val="18"/>
          <w:szCs w:val="18"/>
          <w:color w:val="auto"/>
        </w:rPr>
      </w:pPr>
    </w:p>
    <w:p>
      <w:pPr>
        <w:ind w:left="54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purchase the Hedge Shares from Dealer at the then-prevailing market price on such Exchange Business Days, and in such amounts, requested by Dealer.</w:t>
      </w:r>
    </w:p>
    <w:p>
      <w:pPr>
        <w:spacing w:after="0" w:line="84" w:lineRule="exact"/>
        <w:rPr>
          <w:rFonts w:ascii="Times New Roman" w:cs="Times New Roman" w:eastAsia="Times New Roman" w:hAnsi="Times New Roman"/>
          <w:sz w:val="18"/>
          <w:szCs w:val="18"/>
          <w:color w:val="auto"/>
        </w:rPr>
      </w:pPr>
    </w:p>
    <w:p>
      <w:pPr>
        <w:ind w:left="540" w:right="220" w:hanging="532"/>
        <w:spacing w:after="0" w:line="261"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0"/>
          </w:cols>
          <w:pgMar w:left="860" w:top="378" w:right="459" w:bottom="1440" w:gutter="0" w:footer="0" w:header="0"/>
          <w:type w:val="continuous"/>
        </w:sectPr>
      </w:pPr>
    </w:p>
    <w:bookmarkStart w:id="252" w:name="page253"/>
    <w:bookmarkEnd w:id="252"/>
    <w:p>
      <w:pPr>
        <w:ind w:left="540" w:right="60" w:hanging="532"/>
        <w:spacing w:after="0" w:line="253"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other date of valuation, payment or delivery by Dealer, with respect to some or all of the Options hereunder, if Dealer reasonably determines, in its good faith, commercially reasonable judgment (or, in the case of clause (ii) below only, based on the advice of counsel), that such postponement is reasonably necessary or appropriate (i) to preserve Dealer’s hedging or hedge unwind activity hereunder in light of existing liquidity conditions (but only if there is a material decrease in liquidity relative to Dealer’s expectation on the Trade Date, as determined by Dealer in its sole discretion) or (ii)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60 Valid Days after the final day in the original Settlement Averaging Period or original other date of valuation, payment or delivery, as the case may be.</w:t>
      </w:r>
    </w:p>
    <w:p>
      <w:pPr>
        <w:spacing w:after="0" w:line="97" w:lineRule="exact"/>
        <w:rPr>
          <w:rFonts w:ascii="Times New Roman" w:cs="Times New Roman" w:eastAsia="Times New Roman" w:hAnsi="Times New Roman"/>
          <w:sz w:val="18"/>
          <w:szCs w:val="18"/>
          <w:color w:val="auto"/>
        </w:rPr>
      </w:pPr>
    </w:p>
    <w:p>
      <w:pPr>
        <w:ind w:left="540" w:right="160" w:hanging="532"/>
        <w:spacing w:after="0" w:line="257"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87"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133" w:lineRule="exact"/>
        <w:rPr>
          <w:sz w:val="20"/>
          <w:szCs w:val="20"/>
          <w:color w:val="auto"/>
        </w:rPr>
      </w:pPr>
    </w:p>
    <w:p>
      <w:pPr>
        <w:ind w:left="1000" w:right="100" w:hanging="439"/>
        <w:spacing w:after="0" w:line="258"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that holders of Shares actually receive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88" w:lineRule="exact"/>
        <w:rPr>
          <w:rFonts w:ascii="Times New Roman" w:cs="Times New Roman" w:eastAsia="Times New Roman" w:hAnsi="Times New Roman"/>
          <w:sz w:val="18"/>
          <w:szCs w:val="18"/>
          <w:color w:val="auto"/>
        </w:rPr>
      </w:pPr>
    </w:p>
    <w:p>
      <w:pPr>
        <w:ind w:left="1000" w:right="40" w:hanging="439"/>
        <w:spacing w:after="0" w:line="254"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 set forth in Section 14.04(b) or Section 14.04(d) of the Indenture) or Merger Event and (B) promptly following any such adjustment, Counterparty shall give Dealer written notice of the details of such adjustment. The “</w:t>
      </w:r>
      <w:r>
        <w:rPr>
          <w:rFonts w:ascii="Times New Roman" w:cs="Times New Roman" w:eastAsia="Times New Roman" w:hAnsi="Times New Roman"/>
          <w:sz w:val="18"/>
          <w:szCs w:val="18"/>
          <w:b w:val="1"/>
          <w:bCs w:val="1"/>
          <w:color w:val="auto"/>
        </w:rPr>
        <w:t>Adjustment Notice Deadline</w:t>
      </w:r>
      <w:r>
        <w:rPr>
          <w:rFonts w:ascii="Times New Roman" w:cs="Times New Roman" w:eastAsia="Times New Roman" w:hAnsi="Times New Roman"/>
          <w:sz w:val="18"/>
          <w:szCs w:val="18"/>
          <w:color w:val="auto"/>
        </w:rPr>
        <w:t>” means (i) for any Potential Adjustment in respect of the Dilution Adjustment Provision set forth in Section 14.04(a) of the Indenture, the relevant “Ex-Dividend Date” (as such term is defined in the Indenture) or “Effective Date” (as such term is defined in</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00"/>
          </w:cols>
          <w:pgMar w:left="860" w:top="268" w:right="439" w:bottom="1440" w:gutter="0" w:footer="0" w:header="0"/>
        </w:sectPr>
      </w:pPr>
    </w:p>
    <w:bookmarkStart w:id="253" w:name="page254"/>
    <w:bookmarkEnd w:id="253"/>
    <w:p>
      <w:pPr>
        <w:ind w:left="1424" w:right="10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for purposes of Section 14.04 of the Indenture), as the case may be, (ii) for any Potential Adjustment in respect of the Dilution Adjustment Provision in the first formula set forth in Section 14.04(c) of the Indenture, the first “Trading Day” (as such term is defined in the Indenture) of the period referred to in the definition of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in such formula, (iii) for any Potential Adjustment in respect of the Dilution Adjustment Provision in the second formula set forth in Section 14.04(c) of the Indenture, the first “Trading Day” (as such term is defined in the Indenture) of the “Valuation Period” (as such term is defined in the Indenture),</w:t>
      </w:r>
    </w:p>
    <w:p>
      <w:pPr>
        <w:spacing w:after="0" w:line="4" w:lineRule="exact"/>
        <w:rPr>
          <w:sz w:val="20"/>
          <w:szCs w:val="20"/>
          <w:color w:val="auto"/>
        </w:rPr>
      </w:pPr>
    </w:p>
    <w:p>
      <w:pPr>
        <w:jc w:val="both"/>
        <w:ind w:left="1424" w:right="60" w:firstLine="7"/>
        <w:spacing w:after="0" w:line="253" w:lineRule="auto"/>
        <w:tabs>
          <w:tab w:leader="none" w:pos="1729"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Potential Adjustment in respect of the Dilution Adjustment Provision set forth in Section 14.04(e) of the Indenture, the first Trading Day (as such term is defined in the Indenture) of the period referred to in the definition of “SP” in the formula in such Section, and (v) for any Merger Event, the effective date of such Merger Event (or, if earlier, the first day of any valuation or similar period in respect of such Merger Event).</w:t>
      </w:r>
    </w:p>
    <w:p>
      <w:pPr>
        <w:spacing w:after="0" w:line="92" w:lineRule="exact"/>
        <w:rPr>
          <w:rFonts w:ascii="Times New Roman" w:cs="Times New Roman" w:eastAsia="Times New Roman" w:hAnsi="Times New Roman"/>
          <w:sz w:val="18"/>
          <w:szCs w:val="18"/>
          <w:color w:val="auto"/>
        </w:rPr>
      </w:pPr>
    </w:p>
    <w:p>
      <w:pPr>
        <w:ind w:left="964" w:right="140" w:hanging="532"/>
        <w:spacing w:after="0" w:line="256" w:lineRule="auto"/>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88" w:lineRule="exact"/>
        <w:rPr>
          <w:rFonts w:ascii="Times New Roman" w:cs="Times New Roman" w:eastAsia="Times New Roman" w:hAnsi="Times New Roman"/>
          <w:sz w:val="18"/>
          <w:szCs w:val="18"/>
          <w:color w:val="auto"/>
        </w:rPr>
      </w:pPr>
    </w:p>
    <w:p>
      <w:pPr>
        <w:ind w:left="964" w:right="60" w:hanging="532"/>
        <w:spacing w:after="0" w:line="256" w:lineRule="auto"/>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Times New Roman" w:cs="Times New Roman" w:eastAsia="Times New Roman" w:hAnsi="Times New Roman"/>
          <w:sz w:val="18"/>
          <w:szCs w:val="18"/>
          <w:color w:val="auto"/>
        </w:rPr>
      </w:pPr>
    </w:p>
    <w:p>
      <w:pPr>
        <w:ind w:left="964" w:right="60" w:firstLine="8"/>
        <w:spacing w:after="0" w:line="253" w:lineRule="auto"/>
        <w:tabs>
          <w:tab w:leader="none" w:pos="1249"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90" w:lineRule="exact"/>
        <w:rPr>
          <w:rFonts w:ascii="Times New Roman" w:cs="Times New Roman" w:eastAsia="Times New Roman" w:hAnsi="Times New Roman"/>
          <w:sz w:val="18"/>
          <w:szCs w:val="18"/>
          <w:color w:val="auto"/>
        </w:rPr>
      </w:pPr>
    </w:p>
    <w:p>
      <w:pPr>
        <w:ind w:left="964" w:hanging="532"/>
        <w:spacing w:after="0" w:line="243" w:lineRule="auto"/>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[“Additional]</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(as defined in the Purchase Agreement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 ], 2026, among Counterparty and J.P. Morgan Securities LLC, Citigroup Global Markets Inc., Morgan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Stanley &amp; Co. LLC, BofA Securities, Inc. and Goldman Sachs &amp; Co.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715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24" w:lineRule="exact"/>
        <w:rPr>
          <w:sz w:val="20"/>
          <w:szCs w:val="20"/>
          <w:color w:val="auto"/>
        </w:rPr>
      </w:pPr>
    </w:p>
    <w:p>
      <w:pPr>
        <w:ind w:left="424" w:hanging="424"/>
        <w:spacing w:after="0"/>
        <w:tabs>
          <w:tab w:leader="none" w:pos="424" w:val="left"/>
        </w:tabs>
        <w:numPr>
          <w:ilvl w:val="0"/>
          <w:numId w:val="2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Base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 only.</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254" w:name="page255"/>
    <w:bookmarkEnd w:id="254"/>
    <w:p>
      <w:pPr>
        <w:ind w:left="964" w:hanging="532"/>
        <w:spacing w:after="0" w:line="258" w:lineRule="auto"/>
        <w:tabs>
          <w:tab w:leader="none" w:pos="9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88" w:lineRule="exact"/>
        <w:rPr>
          <w:rFonts w:ascii="Times New Roman" w:cs="Times New Roman" w:eastAsia="Times New Roman" w:hAnsi="Times New Roman"/>
          <w:sz w:val="18"/>
          <w:szCs w:val="18"/>
          <w:color w:val="auto"/>
        </w:rPr>
      </w:pPr>
    </w:p>
    <w:p>
      <w:pPr>
        <w:ind w:left="964" w:right="240" w:hanging="532"/>
        <w:spacing w:after="0" w:line="272" w:lineRule="auto"/>
        <w:tabs>
          <w:tab w:leader="none" w:pos="9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964" w:hanging="532"/>
        <w:spacing w:after="0" w:line="250" w:lineRule="auto"/>
        <w:tabs>
          <w:tab w:leader="none" w:pos="9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Financial Assistance</w:t>
      </w:r>
      <w:r>
        <w:rPr>
          <w:rFonts w:ascii="Times New Roman" w:cs="Times New Roman" w:eastAsia="Times New Roman" w:hAnsi="Times New Roman"/>
          <w:sz w:val="18"/>
          <w:szCs w:val="18"/>
          <w:color w:val="auto"/>
        </w:rPr>
        <w:t>. Counterparty acknowledges that the Transaction may constitute a purchase of its equity securities.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acknowledges that, pursuant to the provisions of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the Counterparty will be required to agree to certain time-bound restrictions on its ability to purchase its equity securities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if it receives loans, loan guarantees or direct loans (as that term is defined in the CARES Act) under programs or facilities established by the Board of Governors of the Federal Reserve System for the purpose of providing liquidity to the financial system. Accordingly, Counterparty represents and warrants that neither it nor any of its subsidiaries has applied, and throughout the term of the Transaction neither it nor any of its subsidiaries shall apply, for a loan, loan guarantee, direct loan (as that term is defined in the CARES Act) or other investment, or to receive any financial assistance or relief (howsoever defined) under any program or facility established in any jurisdiction that (a) is established under applicable law, including without limitation the CARES Act and the Federal Reserve Act, as amended, and (b) requires, as a condition of such loan, loan guarantee, direct loan (as that term is defined in the CARES Act), investment, financial assistance or relief, that the Counterparty agree, attest, certify or warrant that neither it nor any of its subsidiaries has, as of the date specified in such condition, repurchased, or will repurchase, any equity security of Counterparty. Counterparty further represents and warrants that the Premium is not being paid, in whole or in part, directly or indirectly, with funds received under or pursuant to any program or facility established in any jurisdiction,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0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Dealer boilerplate, including QFC language, if 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7715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25" w:lineRule="exact"/>
        <w:rPr>
          <w:sz w:val="20"/>
          <w:szCs w:val="20"/>
          <w:color w:val="auto"/>
        </w:rPr>
      </w:pPr>
    </w:p>
    <w:p>
      <w:pPr>
        <w:ind w:left="424" w:hanging="424"/>
        <w:spacing w:after="0"/>
        <w:tabs>
          <w:tab w:leader="none" w:pos="424" w:val="left"/>
        </w:tabs>
        <w:numPr>
          <w:ilvl w:val="0"/>
          <w:numId w:val="2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Dealers who are U.S. broker-dealers.</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68" w:right="499" w:bottom="1440" w:gutter="0" w:footer="0" w:header="0"/>
        </w:sectPr>
      </w:pPr>
    </w:p>
    <w:bookmarkStart w:id="255" w:name="page256"/>
    <w:bookmarkEnd w:id="25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the agreement between Dealer and Counterparty with respect to the Transaction, by executing this Confirmation or this page hereof as evidence of agreement to such terms and providing the other information requested herein and returning an executed copy to Dealer.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w:t>
      </w:r>
    </w:p>
    <w:p>
      <w:pPr>
        <w:spacing w:after="0" w:line="1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Bond Hedge Confirmation</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37"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Bond Hedge Confirmation</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57" w:name="page258"/>
    <w:bookmarkEnd w:id="257"/>
    <w:p>
      <w:pPr>
        <w:ind w:left="10084"/>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10264"/>
        <w:spacing w:after="0"/>
        <w:rPr>
          <w:sz w:val="20"/>
          <w:szCs w:val="20"/>
          <w:color w:val="auto"/>
        </w:rPr>
      </w:pPr>
      <w:r>
        <w:rPr>
          <w:rFonts w:ascii="Times New Roman" w:cs="Times New Roman" w:eastAsia="Times New Roman" w:hAnsi="Times New Roman"/>
          <w:sz w:val="18"/>
          <w:szCs w:val="18"/>
          <w:b w:val="1"/>
          <w:bCs w:val="1"/>
          <w:color w:val="auto"/>
        </w:rPr>
        <w:t>Bid Form</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Name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Address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724"/>
        <w:spacing w:after="0"/>
        <w:rPr>
          <w:sz w:val="20"/>
          <w:szCs w:val="20"/>
          <w:color w:val="auto"/>
        </w:rPr>
      </w:pPr>
      <w:r>
        <w:rPr>
          <w:rFonts w:ascii="Times New Roman" w:cs="Times New Roman" w:eastAsia="Times New Roman" w:hAnsi="Times New Roman"/>
          <w:sz w:val="18"/>
          <w:szCs w:val="18"/>
          <w:color w:val="auto"/>
        </w:rPr>
        <w:t>[________], 2026</w:t>
      </w:r>
    </w:p>
    <w:p>
      <w:pPr>
        <w:sectPr>
          <w:pgSz w:w="11900" w:h="16838" w:orient="portrait"/>
          <w:cols w:equalWidth="0" w:num="1">
            <w:col w:w="11024"/>
          </w:cols>
          <w:pgMar w:left="436" w:top="117"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145 Broadway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Edward McGowan, Executive Vice President &amp; Chief Financial Officer</w:t>
      </w:r>
    </w:p>
    <w:p>
      <w:pPr>
        <w:spacing w:after="0" w:line="21"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Telephone No.:</w:t>
      </w:r>
      <w:r>
        <w:rPr>
          <w:sz w:val="20"/>
          <w:szCs w:val="20"/>
          <w:color w:val="auto"/>
        </w:rPr>
        <w:tab/>
      </w:r>
      <w:r>
        <w:rPr>
          <w:rFonts w:ascii="Times New Roman" w:cs="Times New Roman" w:eastAsia="Times New Roman" w:hAnsi="Times New Roman"/>
          <w:sz w:val="17"/>
          <w:szCs w:val="17"/>
          <w:color w:val="auto"/>
        </w:rPr>
        <w:t>(617) 444-3000</w:t>
      </w:r>
    </w:p>
    <w:p>
      <w:pPr>
        <w:spacing w:after="0" w:line="9"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Facsimile No.:</w:t>
      </w:r>
      <w:r>
        <w:rPr>
          <w:sz w:val="20"/>
          <w:szCs w:val="20"/>
          <w:color w:val="auto"/>
        </w:rPr>
        <w:tab/>
      </w:r>
      <w:r>
        <w:rPr>
          <w:rFonts w:ascii="Times New Roman" w:cs="Times New Roman" w:eastAsia="Times New Roman" w:hAnsi="Times New Roman"/>
          <w:sz w:val="17"/>
          <w:szCs w:val="17"/>
          <w:color w:val="auto"/>
        </w:rPr>
        <w:t>(617) 444-3001</w:t>
      </w:r>
    </w:p>
    <w:p>
      <w:pPr>
        <w:spacing w:after="0" w:line="200" w:lineRule="exact"/>
        <w:rPr>
          <w:sz w:val="20"/>
          <w:szCs w:val="20"/>
          <w:color w:val="auto"/>
        </w:rPr>
      </w:pPr>
    </w:p>
    <w:p>
      <w:pPr>
        <w:sectPr>
          <w:pgSz w:w="11900" w:h="16838" w:orient="portrait"/>
          <w:cols w:equalWidth="0" w:num="2">
            <w:col w:w="244" w:space="180"/>
            <w:col w:w="10600"/>
          </w:cols>
          <w:pgMar w:left="436" w:top="117" w:right="43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[Base][Additional] Warrants</w:t>
      </w:r>
    </w:p>
    <w:p>
      <w:pPr>
        <w:spacing w:after="0" w:line="125" w:lineRule="exact"/>
        <w:rPr>
          <w:sz w:val="20"/>
          <w:szCs w:val="20"/>
          <w:color w:val="auto"/>
        </w:rPr>
      </w:pPr>
    </w:p>
    <w:p>
      <w:pPr>
        <w:sectPr>
          <w:pgSz w:w="11900" w:h="16838" w:orient="portrait"/>
          <w:cols w:equalWidth="0" w:num="2">
            <w:col w:w="244" w:space="180"/>
            <w:col w:w="10600"/>
          </w:cols>
          <w:pgMar w:left="436" w:top="117" w:right="439" w:bottom="1440" w:gutter="0" w:footer="0" w:header="0"/>
          <w:type w:val="continuous"/>
        </w:sectPr>
      </w:pPr>
    </w:p>
    <w:p>
      <w:pPr>
        <w:ind w:left="4" w:right="260" w:firstLine="440"/>
        <w:spacing w:after="0" w:line="278" w:lineRule="auto"/>
        <w:rPr>
          <w:sz w:val="20"/>
          <w:szCs w:val="20"/>
          <w:color w:val="auto"/>
        </w:rPr>
      </w:pPr>
      <w:r>
        <w:rPr>
          <w:rFonts w:ascii="Times New Roman" w:cs="Times New Roman" w:eastAsia="Times New Roman" w:hAnsi="Times New Roman"/>
          <w:sz w:val="17"/>
          <w:szCs w:val="17"/>
          <w:color w:val="auto"/>
        </w:rPr>
        <w:t>The purpose of this letter agreement (this “</w:t>
      </w:r>
      <w:r>
        <w:rPr>
          <w:rFonts w:ascii="Times New Roman" w:cs="Times New Roman" w:eastAsia="Times New Roman" w:hAnsi="Times New Roman"/>
          <w:sz w:val="17"/>
          <w:szCs w:val="17"/>
          <w:b w:val="1"/>
          <w:bCs w:val="1"/>
          <w:color w:val="auto"/>
        </w:rPr>
        <w:t>Confirmation</w:t>
      </w:r>
      <w:r>
        <w:rPr>
          <w:rFonts w:ascii="Times New Roman" w:cs="Times New Roman" w:eastAsia="Times New Roman" w:hAnsi="Times New Roman"/>
          <w:sz w:val="17"/>
          <w:szCs w:val="17"/>
          <w:color w:val="auto"/>
        </w:rPr>
        <w:t>”) is to confirm the terms and conditions of the Warrants issued by Akamai Technologies, Inc.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 [_____] (“</w:t>
      </w:r>
      <w:r>
        <w:rPr>
          <w:rFonts w:ascii="Times New Roman" w:cs="Times New Roman" w:eastAsia="Times New Roman" w:hAnsi="Times New Roman"/>
          <w:sz w:val="17"/>
          <w:szCs w:val="17"/>
          <w:b w:val="1"/>
          <w:bCs w:val="1"/>
          <w:color w:val="auto"/>
        </w:rPr>
        <w:t>Dealer</w:t>
      </w:r>
      <w:r>
        <w:rPr>
          <w:rFonts w:ascii="Times New Roman" w:cs="Times New Roman" w:eastAsia="Times New Roman" w:hAnsi="Times New Roman"/>
          <w:sz w:val="17"/>
          <w:szCs w:val="17"/>
          <w:color w:val="auto"/>
        </w:rPr>
        <w:t>”) as of the Trade Date specified below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This letter agreement constitutes a</w:t>
      </w:r>
    </w:p>
    <w:p>
      <w:pPr>
        <w:spacing w:after="0" w:line="1"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8"/>
          <w:szCs w:val="18"/>
          <w:color w:val="auto"/>
        </w:rPr>
        <w:t>“Confirmation” as referred to in the ISDA Master Agreement specified below. This Confirmation shall replace any previous agreements and serve as the final documentation for the Transaction.</w:t>
      </w:r>
    </w:p>
    <w:p>
      <w:pPr>
        <w:spacing w:after="0" w:line="177"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w:t>
      </w:r>
    </w:p>
    <w:p>
      <w:pPr>
        <w:spacing w:after="0" w:line="17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left="4" w:right="140" w:hanging="4"/>
        <w:spacing w:after="0" w:line="255" w:lineRule="auto"/>
        <w:tabs>
          <w:tab w:leader="none" w:pos="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88" w:lineRule="exact"/>
        <w:rPr>
          <w:rFonts w:ascii="Times New Roman" w:cs="Times New Roman" w:eastAsia="Times New Roman" w:hAnsi="Times New Roman"/>
          <w:sz w:val="18"/>
          <w:szCs w:val="18"/>
          <w:color w:val="auto"/>
        </w:rPr>
      </w:pPr>
    </w:p>
    <w:p>
      <w:pPr>
        <w:ind w:left="4" w:right="120" w:hanging="4"/>
        <w:spacing w:after="0" w:line="282" w:lineRule="auto"/>
        <w:tabs>
          <w:tab w:leader="none" w:pos="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48"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p>
        </w:tc>
        <w:tc>
          <w:tcPr>
            <w:tcW w:w="7360" w:type="dxa"/>
            <w:vAlign w:val="bottom"/>
          </w:tcPr>
          <w:p>
            <w:pPr>
              <w:spacing w:after="0"/>
              <w:rPr>
                <w:sz w:val="18"/>
                <w:szCs w:val="18"/>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80"/>
        </w:trPr>
        <w:tc>
          <w:tcPr>
            <w:tcW w:w="3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Date:</w:t>
            </w: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[________], 2026</w:t>
            </w:r>
          </w:p>
        </w:tc>
      </w:tr>
      <w:tr>
        <w:trPr>
          <w:trHeight w:val="306"/>
        </w:trPr>
        <w:tc>
          <w:tcPr>
            <w:tcW w:w="3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Effective Date:</w:t>
            </w: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The second Exchange Business Day immediately prior to the Premium Payment</w:t>
            </w:r>
          </w:p>
        </w:tc>
      </w:tr>
      <w:tr>
        <w:trPr>
          <w:trHeight w:val="234"/>
        </w:trPr>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Date</w:t>
            </w:r>
          </w:p>
        </w:tc>
      </w:tr>
      <w:tr>
        <w:trPr>
          <w:trHeight w:val="306"/>
        </w:trPr>
        <w:tc>
          <w:tcPr>
            <w:tcW w:w="3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Warrants:</w:t>
            </w: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Equity call warrants, each giving the holder the right to purchase a number of</w:t>
            </w:r>
          </w:p>
        </w:tc>
      </w:t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Shares equal to the Warrant Entitlement at a price per Share equal to the Strike</w:t>
            </w:r>
          </w:p>
        </w:tc>
      </w:t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Price, subject to the terms set forth under the caption “Settlement Terms” below.</w:t>
            </w:r>
          </w:p>
        </w:tc>
      </w:t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For the purposes of the Equity Definitions, each reference to a Warrant herein</w:t>
            </w:r>
          </w:p>
        </w:tc>
      </w:tr>
      <w:tr>
        <w:trPr>
          <w:trHeight w:val="234"/>
        </w:trPr>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shall be deemed to be a reference to a Call Option.</w:t>
            </w:r>
          </w:p>
        </w:tc>
      </w:tr>
      <w:tr>
        <w:trPr>
          <w:trHeight w:val="324"/>
        </w:trPr>
        <w:tc>
          <w:tcPr>
            <w:tcW w:w="3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Warrant Style:</w:t>
            </w:r>
          </w:p>
        </w:tc>
        <w:tc>
          <w:tcPr>
            <w:tcW w:w="73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European</w:t>
            </w:r>
          </w:p>
        </w:tc>
      </w:tr>
    </w:tbl>
    <w:p>
      <w:pPr>
        <w:sectPr>
          <w:pgSz w:w="11900" w:h="16838" w:orient="portrait"/>
          <w:cols w:equalWidth="0" w:num="1">
            <w:col w:w="11024"/>
          </w:cols>
          <w:pgMar w:left="436" w:top="117" w:right="439" w:bottom="1440" w:gutter="0" w:footer="0" w:header="0"/>
          <w:type w:val="continuous"/>
        </w:sectPr>
      </w:pPr>
    </w:p>
    <w:bookmarkStart w:id="258" w:name="page259"/>
    <w:bookmarkEnd w:id="2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23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Seller:</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Company</w:t>
            </w:r>
          </w:p>
        </w:tc>
      </w:tr>
      <w:tr>
        <w:trPr>
          <w:trHeight w:val="32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Buyer:</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Dealer</w:t>
            </w:r>
          </w:p>
        </w:tc>
      </w:tr>
      <w:tr>
        <w:trPr>
          <w:trHeight w:val="306"/>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common stock of Company, par value USD 0.01 per share (Exchange</w:t>
            </w:r>
          </w:p>
        </w:tc>
      </w:tr>
      <w:tr>
        <w:trPr>
          <w:trHeight w:val="234"/>
        </w:trPr>
        <w:tc>
          <w:tcPr>
            <w:tcW w:w="1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symbol “AKAM”)</w:t>
            </w:r>
          </w:p>
        </w:tc>
      </w:tr>
      <w:tr>
        <w:trPr>
          <w:trHeight w:val="306"/>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Number of Warrants:</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For the avoidance of doubt, the Number of Warrants shall be reduced by</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any Warrants exercised or deemed exercised hereunder. In no event will the</w:t>
            </w:r>
          </w:p>
        </w:tc>
      </w:tr>
      <w:tr>
        <w:trPr>
          <w:trHeight w:val="234"/>
        </w:trPr>
        <w:tc>
          <w:tcPr>
            <w:tcW w:w="1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Number of Warrants be less than zero.</w:t>
            </w:r>
          </w:p>
        </w:tc>
      </w:tr>
      <w:tr>
        <w:trPr>
          <w:trHeight w:val="32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Warrant Entitlement:</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One Share per Warrant</w:t>
            </w:r>
          </w:p>
        </w:tc>
      </w:tr>
      <w:tr>
        <w:trPr>
          <w:trHeight w:val="32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Strike Price:</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USD [______]</w:t>
            </w:r>
          </w:p>
        </w:tc>
      </w:tr>
      <w:tr>
        <w:trPr>
          <w:trHeight w:val="306"/>
        </w:trPr>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Notwithstanding anything to the contrary in the Agreement, this Confirmation or</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the Equity Definitions, in no event shall the Strike Price be subject to adjustment</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 the extent that, after giving effect to such adjustment, the Strike Price would</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line="216" w:lineRule="exact"/>
              <w:rPr>
                <w:sz w:val="20"/>
                <w:szCs w:val="20"/>
                <w:color w:val="auto"/>
              </w:rPr>
            </w:pPr>
            <w:r>
              <w:rPr>
                <w:rFonts w:ascii="Times New Roman" w:cs="Times New Roman" w:eastAsia="Times New Roman" w:hAnsi="Times New Roman"/>
                <w:sz w:val="17"/>
                <w:szCs w:val="17"/>
                <w:color w:val="auto"/>
              </w:rPr>
              <w:t>be less than USD [______]</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except for any adjustment pursuant to the terms of</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this Confirmation and the Equity Definitions in connection with stock splits or</w:t>
            </w:r>
          </w:p>
        </w:tc>
      </w:tr>
      <w:tr>
        <w:trPr>
          <w:trHeight w:val="234"/>
        </w:trPr>
        <w:tc>
          <w:tcPr>
            <w:tcW w:w="1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similar changes to Company’s capitalization.</w:t>
            </w:r>
          </w:p>
        </w:tc>
      </w:tr>
      <w:tr>
        <w:trPr>
          <w:trHeight w:val="32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Premium:</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USD [___]</w:t>
            </w:r>
          </w:p>
        </w:tc>
      </w:tr>
      <w:tr>
        <w:trPr>
          <w:trHeight w:val="41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Premium Payment Date:</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[________], 2026</w:t>
            </w:r>
            <w:r>
              <w:rPr>
                <w:rFonts w:ascii="Times New Roman" w:cs="Times New Roman" w:eastAsia="Times New Roman" w:hAnsi="Times New Roman"/>
                <w:sz w:val="26"/>
                <w:szCs w:val="26"/>
                <w:color w:val="auto"/>
                <w:vertAlign w:val="superscript"/>
              </w:rPr>
              <w:t>3</w:t>
            </w:r>
          </w:p>
        </w:tc>
      </w:tr>
      <w:tr>
        <w:trPr>
          <w:trHeight w:val="23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Exchange:</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324"/>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Related Exchange(s):</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91"/>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7060" w:type="dxa"/>
            <w:vAlign w:val="bottom"/>
          </w:tcPr>
          <w:p>
            <w:pPr>
              <w:spacing w:after="0"/>
              <w:rPr>
                <w:sz w:val="24"/>
                <w:szCs w:val="24"/>
                <w:color w:val="auto"/>
              </w:rPr>
            </w:pPr>
          </w:p>
        </w:tc>
      </w:tr>
      <w:tr>
        <w:trPr>
          <w:trHeight w:val="480"/>
        </w:trPr>
        <w:tc>
          <w:tcPr>
            <w:tcW w:w="17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Expiration Time:</w:t>
            </w:r>
          </w:p>
        </w:tc>
        <w:tc>
          <w:tcPr>
            <w:tcW w:w="1740" w:type="dxa"/>
            <w:vAlign w:val="bottom"/>
          </w:tcPr>
          <w:p>
            <w:pPr>
              <w:spacing w:after="0"/>
              <w:rPr>
                <w:sz w:val="24"/>
                <w:szCs w:val="24"/>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306"/>
        </w:trPr>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Expiration Dates:</w:t>
            </w: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Each Scheduled Trading Day during the period from, and including, the First</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Expiration Date to, but excluding, the 40th Scheduled Trading Day following the</w:t>
            </w:r>
          </w:p>
        </w:tc>
      </w:tr>
      <w:tr>
        <w:trPr>
          <w:trHeight w:val="214"/>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Expiration Date shall be an “Expiration Date” for a number of Warrants</w:t>
            </w:r>
          </w:p>
        </w:tc>
      </w:tr>
      <w:tr>
        <w:trPr>
          <w:trHeight w:val="218"/>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xml:space="preserve">equal to the Daily Number of Warrants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if any such</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date is a Disrupted Day, the Calculation Agent shall (i) make adjustments, if</w:t>
            </w: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applicable, to the Daily Number of Warrants or shall reduce such Daily Number</w:t>
            </w:r>
          </w:p>
        </w:tc>
      </w:tr>
      <w:tr>
        <w:trPr>
          <w:trHeight w:val="234"/>
        </w:trPr>
        <w:tc>
          <w:tcPr>
            <w:tcW w:w="1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Warrants to zero for which such day shall be an Expiration Date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18" w:lineRule="auto"/>
        <w:tabs>
          <w:tab w:leader="none" w:pos="424" w:val="left"/>
        </w:tabs>
        <w:numPr>
          <w:ilvl w:val="0"/>
          <w:numId w:val="2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To be equal to (A) for the Base Warrant Confirmation, (i) the number of Convertible Notes initially issued on the closing date for the Convertible Notes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initial Conversion Rate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(iii) Dealer’s applicable percentage, and (B) for the Additional Warrant</w:t>
      </w:r>
    </w:p>
    <w:p>
      <w:pPr>
        <w:spacing w:after="0" w:line="1" w:lineRule="exact"/>
        <w:rPr>
          <w:sz w:val="20"/>
          <w:szCs w:val="20"/>
          <w:color w:val="auto"/>
        </w:rPr>
      </w:pPr>
    </w:p>
    <w:p>
      <w:pPr>
        <w:ind w:left="424" w:right="160"/>
        <w:spacing w:after="0" w:line="250" w:lineRule="auto"/>
        <w:rPr>
          <w:sz w:val="20"/>
          <w:szCs w:val="20"/>
          <w:color w:val="auto"/>
        </w:rPr>
      </w:pPr>
      <w:r>
        <w:rPr>
          <w:rFonts w:ascii="Times New Roman" w:cs="Times New Roman" w:eastAsia="Times New Roman" w:hAnsi="Times New Roman"/>
          <w:sz w:val="18"/>
          <w:szCs w:val="18"/>
          <w:color w:val="auto"/>
        </w:rPr>
        <w:t xml:space="preserve">Confirmation, (i) the number of additional Convertible Notes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initial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(iii) Dealer’s applicable percentage.</w:t>
      </w:r>
    </w:p>
    <w:p>
      <w:pPr>
        <w:ind w:left="424" w:hanging="424"/>
        <w:spacing w:after="0" w:line="180" w:lineRule="auto"/>
        <w:tabs>
          <w:tab w:leader="none" w:pos="424" w:val="left"/>
        </w:tabs>
        <w:numPr>
          <w:ilvl w:val="0"/>
          <w:numId w:val="2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the Base Warrant Confirmation, insert the closing price of the Shares on the day of pricing. For the Additional Warrant Confirmation, insert</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closing price of the Shares on the day the shoe is exercised.</w:t>
      </w:r>
    </w:p>
    <w:p>
      <w:pPr>
        <w:spacing w:after="0" w:line="7" w:lineRule="exact"/>
        <w:rPr>
          <w:sz w:val="20"/>
          <w:szCs w:val="20"/>
          <w:color w:val="auto"/>
        </w:rPr>
      </w:pPr>
    </w:p>
    <w:p>
      <w:pPr>
        <w:jc w:val="both"/>
        <w:ind w:left="424" w:right="940" w:hanging="424"/>
        <w:spacing w:after="0" w:line="209" w:lineRule="auto"/>
        <w:tabs>
          <w:tab w:leader="none" w:pos="424" w:val="left"/>
        </w:tabs>
        <w:numPr>
          <w:ilvl w:val="0"/>
          <w:numId w:val="2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For the Base Warrant Confirmation, to be the closing date of the initial issuance of the Convertible Notes. For the Additional Warrant Confirmation, to be the closing date of the Convertible Notes issued pursuant to the option to purchase additional Convertible Notes.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378" w:right="499" w:bottom="1440" w:gutter="0" w:footer="0" w:header="0"/>
        </w:sectPr>
      </w:pPr>
    </w:p>
    <w:bookmarkStart w:id="259" w:name="page260"/>
    <w:bookmarkEnd w:id="259"/>
    <w:p>
      <w:pPr>
        <w:ind w:left="514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designate a Scheduled Trading Day or a number of Scheduled Trading Days as the Expiration Date(s) for the remaining Daily Number of Warrants or a portion thereof for the originally scheduled Expiration Date and (ii) if the Daily Number of Warrants for such Disrupted Day is not reduced to zero, determine the Settlement Price for such Disrupted Day based on transactions in the Shares on such Disrupted Day taking into account the nature and duration of such Market Disruption Event on such day;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such Expiration Date has not occurred pursuant to this clause as of the eighth Scheduled Trading Day following the last scheduled Expiration Date under the Transaction, the Calculation Agent shall have the right to declare such Scheduled Trading Day to be the final Expiration Date and, in such case, the Calculation Agent shall determine its good faith estimate of the fair market value for the Shares as of the Valuation Time on that eighth Scheduled Trading Day or on any subsequent Scheduled Trading Day, as the Calculation Agent shall determine using commercially reasonable means.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p>
    <w:p>
      <w:pPr>
        <w:sectPr>
          <w:pgSz w:w="11900" w:h="16838" w:orient="portrait"/>
          <w:cols w:equalWidth="0" w:num="1">
            <w:col w:w="11024"/>
          </w:cols>
          <w:pgMar w:left="436" w:top="270" w:right="439" w:bottom="1440" w:gutter="0" w:footer="0" w:header="0"/>
        </w:sectPr>
      </w:pPr>
    </w:p>
    <w:p>
      <w:pPr>
        <w:spacing w:after="0" w:line="81"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First Expiration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August 15, [2030]</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[2032]</w:t>
      </w:r>
      <w:r>
        <w:rPr>
          <w:rFonts w:ascii="Times New Roman" w:cs="Times New Roman" w:eastAsia="Times New Roman" w:hAnsi="Times New Roman"/>
          <w:sz w:val="13"/>
          <w:szCs w:val="13"/>
          <w:color w:val="auto"/>
        </w:rPr>
        <w:t>5</w:t>
      </w:r>
      <w:r>
        <w:rPr>
          <w:rFonts w:ascii="Times New Roman" w:cs="Times New Roman" w:eastAsia="Times New Roman" w:hAnsi="Times New Roman"/>
          <w:sz w:val="18"/>
          <w:szCs w:val="18"/>
          <w:color w:val="auto"/>
        </w:rPr>
        <w:t xml:space="preserve"> (or if such day is not a Scheduled Trading Day, the next following Scheduled Trading Day), subject to “Market Disruption Event” below.</w:t>
      </w:r>
    </w:p>
    <w:p>
      <w:pPr>
        <w:spacing w:after="0" w:line="68" w:lineRule="exact"/>
        <w:rPr>
          <w:sz w:val="20"/>
          <w:szCs w:val="20"/>
          <w:color w:val="auto"/>
        </w:rPr>
      </w:pPr>
    </w:p>
    <w:p>
      <w:pPr>
        <w:sectPr>
          <w:pgSz w:w="11900" w:h="16838" w:orient="portrait"/>
          <w:cols w:equalWidth="0" w:num="2">
            <w:col w:w="4424" w:space="720"/>
            <w:col w:w="5880"/>
          </w:cols>
          <w:pgMar w:left="436" w:top="270"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color w:val="auto"/>
        </w:rPr>
        <w:t>Daily Number of Warrants:</w:t>
      </w:r>
    </w:p>
    <w:p>
      <w:pPr>
        <w:spacing w:after="0" w:line="20" w:lineRule="exact"/>
        <w:rPr>
          <w:sz w:val="20"/>
          <w:szCs w:val="20"/>
          <w:color w:val="auto"/>
        </w:rPr>
      </w:pPr>
      <w:r>
        <w:rPr>
          <w:sz w:val="20"/>
          <w:szCs w:val="20"/>
          <w:color w:val="auto"/>
        </w:rPr>
        <w:br w:type="column"/>
      </w: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For any Expiration Date, the Number of Warrants that have not expired or been exercised as of such day,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75" w:lineRule="exact"/>
        <w:rPr>
          <w:sz w:val="20"/>
          <w:szCs w:val="20"/>
          <w:color w:val="auto"/>
        </w:rPr>
      </w:pPr>
    </w:p>
    <w:p>
      <w:pPr>
        <w:sectPr>
          <w:pgSz w:w="11900" w:h="16838" w:orient="portrait"/>
          <w:cols w:equalWidth="0" w:num="2">
            <w:col w:w="4424" w:space="720"/>
            <w:col w:w="5880"/>
          </w:cols>
          <w:pgMar w:left="436" w:top="270"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color w:val="auto"/>
        </w:rPr>
        <w:t>Automatic Exercise:</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68" w:lineRule="exact"/>
        <w:rPr>
          <w:sz w:val="20"/>
          <w:szCs w:val="20"/>
          <w:color w:val="auto"/>
        </w:rPr>
      </w:pPr>
    </w:p>
    <w:p>
      <w:pPr>
        <w:sectPr>
          <w:pgSz w:w="11900" w:h="16838" w:orient="portrait"/>
          <w:cols w:equalWidth="0" w:num="2">
            <w:col w:w="4424" w:space="720"/>
            <w:col w:w="5880"/>
          </w:cols>
          <w:pgMar w:left="436" w:top="270" w:right="43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color w:val="auto"/>
        </w:rPr>
        <w:t>Market Disruption Event:</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5" w:lineRule="exact"/>
        <w:rPr>
          <w:sz w:val="20"/>
          <w:szCs w:val="20"/>
          <w:color w:val="auto"/>
        </w:rPr>
      </w:pPr>
    </w:p>
    <w:p>
      <w:pPr>
        <w:sectPr>
          <w:pgSz w:w="11900" w:h="16838" w:orient="portrait"/>
          <w:cols w:equalWidth="0" w:num="2">
            <w:col w:w="4424" w:space="720"/>
            <w:col w:w="5880"/>
          </w:cols>
          <w:pgMar w:left="436" w:top="270" w:right="439" w:bottom="1440" w:gutter="0" w:footer="0" w:header="0"/>
          <w:type w:val="continuous"/>
        </w:sectPr>
      </w:pPr>
    </w:p>
    <w:p>
      <w:pPr>
        <w:ind w:left="5144" w:right="40"/>
        <w:spacing w:after="0" w:line="266"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words “Scheduled Closing Time” in the fourth line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type w:val="continuous"/>
        </w:sectPr>
      </w:pPr>
    </w:p>
    <w:p>
      <w:pPr>
        <w:spacing w:after="0" w:line="86" w:lineRule="exact"/>
        <w:rPr>
          <w:sz w:val="20"/>
          <w:szCs w:val="20"/>
          <w:color w:val="auto"/>
        </w:rPr>
      </w:pPr>
    </w:p>
    <w:p>
      <w:pPr>
        <w:ind w:left="424" w:hanging="424"/>
        <w:spacing w:after="0"/>
        <w:tabs>
          <w:tab w:leader="none" w:pos="424" w:val="left"/>
        </w:tabs>
        <w:numPr>
          <w:ilvl w:val="0"/>
          <w:numId w:val="2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4-year tranche.</w:t>
      </w:r>
    </w:p>
    <w:p>
      <w:pPr>
        <w:ind w:left="424" w:hanging="424"/>
        <w:spacing w:after="0" w:line="180" w:lineRule="auto"/>
        <w:tabs>
          <w:tab w:leader="none" w:pos="424" w:val="left"/>
        </w:tabs>
        <w:numPr>
          <w:ilvl w:val="0"/>
          <w:numId w:val="2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6-year tranche.</w:t>
      </w:r>
    </w:p>
    <w:p>
      <w:pPr>
        <w:spacing w:after="0" w:line="1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4"/>
          </w:cols>
          <w:pgMar w:left="436" w:top="270" w:right="439" w:bottom="1440" w:gutter="0" w:footer="0" w:header="0"/>
          <w:type w:val="continuous"/>
        </w:sectPr>
      </w:pPr>
    </w:p>
    <w:bookmarkStart w:id="260" w:name="page261"/>
    <w:bookmarkEnd w:id="260"/>
    <w:tbl>
      <w:tblPr>
        <w:tblLayout w:type="fixed"/>
        <w:tblInd w:w="0" w:type="dxa"/>
        <w:tblCellMar>
          <w:top w:w="0" w:type="dxa"/>
          <w:left w:w="0" w:type="dxa"/>
          <w:bottom w:w="0" w:type="dxa"/>
          <w:right w:w="0" w:type="dxa"/>
        </w:tblCellMar>
      </w:tblPr>
      <w:tr>
        <w:trPr>
          <w:trHeight w:val="216"/>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Regulatory Disruption:</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Any event that Dealer, in its good faith, commercially reasonable discretion,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determines makes it appropriate with regard to any legal, regulatory or self-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regulatory requirements or related policies and procedures, for Dealer to refrain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from or decrease any market activity in connection with the Transaction. Dealer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shall notify Company as soon as reasonably practicable that a Regulatory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Disruption has occurred and the Expiration Dates affected by it, in which case,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subject to Section 6.3(a) of the Equity Definitions, each such scheduled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Expiration Date shall be deemed to be a Disrupted Day in full.</w:t>
            </w:r>
          </w:p>
        </w:tc>
        <w:tc>
          <w:tcPr>
            <w:tcW w:w="0" w:type="dxa"/>
            <w:vAlign w:val="bottom"/>
          </w:tcPr>
          <w:p>
            <w:pPr>
              <w:spacing w:after="0"/>
              <w:rPr>
                <w:sz w:val="1"/>
                <w:szCs w:val="1"/>
                <w:color w:val="auto"/>
              </w:rPr>
            </w:pPr>
          </w:p>
        </w:tc>
      </w:tr>
      <w:tr>
        <w:trPr>
          <w:trHeight w:val="392"/>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Valuation Terms</w:t>
            </w:r>
            <w:r>
              <w:rPr>
                <w:rFonts w:ascii="Times New Roman" w:cs="Times New Roman" w:eastAsia="Times New Roman" w:hAnsi="Times New Roman"/>
                <w:sz w:val="18"/>
                <w:szCs w:val="18"/>
                <w:color w:val="auto"/>
              </w:rPr>
              <w:t>.</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7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 xml:space="preserve">Scheduled Closing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w:t>
            </w:r>
          </w:p>
        </w:tc>
        <w:tc>
          <w:tcPr>
            <w:tcW w:w="0" w:type="dxa"/>
            <w:vAlign w:val="bottom"/>
          </w:tcPr>
          <w:p>
            <w:pPr>
              <w:spacing w:after="0" w:line="20" w:lineRule="exact"/>
              <w:rPr>
                <w:sz w:val="1"/>
                <w:szCs w:val="1"/>
                <w:color w:val="auto"/>
              </w:rPr>
            </w:pPr>
          </w:p>
        </w:tc>
      </w:tr>
      <w:tr>
        <w:trPr>
          <w:trHeight w:val="461"/>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Valuation Time:</w:t>
            </w:r>
          </w:p>
        </w:tc>
        <w:tc>
          <w:tcPr>
            <w:tcW w:w="6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extended, the Calculation Agent shall determine the Valuation Time in its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discretion.</w:t>
            </w:r>
          </w:p>
        </w:tc>
        <w:tc>
          <w:tcPr>
            <w:tcW w:w="0" w:type="dxa"/>
            <w:vAlign w:val="bottom"/>
          </w:tcPr>
          <w:p>
            <w:pPr>
              <w:spacing w:after="0"/>
              <w:rPr>
                <w:sz w:val="1"/>
                <w:szCs w:val="1"/>
                <w:color w:val="auto"/>
              </w:rPr>
            </w:pPr>
          </w:p>
        </w:tc>
      </w:tr>
      <w:tr>
        <w:trPr>
          <w:trHeight w:val="324"/>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Valuation Date:</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Each Exercise Date</w:t>
            </w:r>
          </w:p>
        </w:tc>
        <w:tc>
          <w:tcPr>
            <w:tcW w:w="0" w:type="dxa"/>
            <w:vAlign w:val="bottom"/>
          </w:tcPr>
          <w:p>
            <w:pPr>
              <w:spacing w:after="0"/>
              <w:rPr>
                <w:sz w:val="1"/>
                <w:szCs w:val="1"/>
                <w:color w:val="auto"/>
              </w:rPr>
            </w:pPr>
          </w:p>
        </w:tc>
      </w:tr>
      <w:tr>
        <w:trPr>
          <w:trHeight w:val="391"/>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r>
              <w:rPr>
                <w:rFonts w:ascii="Times New Roman" w:cs="Times New Roman" w:eastAsia="Times New Roman" w:hAnsi="Times New Roman"/>
                <w:sz w:val="18"/>
                <w:szCs w:val="18"/>
                <w:color w:val="auto"/>
              </w:rPr>
              <w:t>.</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7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references to “Physical Settlement” in Section 7.1</w:t>
            </w:r>
          </w:p>
        </w:tc>
        <w:tc>
          <w:tcPr>
            <w:tcW w:w="0" w:type="dxa"/>
            <w:vAlign w:val="bottom"/>
          </w:tcPr>
          <w:p>
            <w:pPr>
              <w:spacing w:after="0" w:line="20" w:lineRule="exact"/>
              <w:rPr>
                <w:sz w:val="1"/>
                <w:szCs w:val="1"/>
                <w:color w:val="auto"/>
              </w:rPr>
            </w:pPr>
          </w:p>
        </w:tc>
      </w:tr>
      <w:tr>
        <w:trPr>
          <w:trHeight w:val="461"/>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6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of the Equity Definitions shall be replaced by references to “Net Share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Settlement”; (ii) Company may elect Cash Settlement only if Company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represents and warrants to Dealer in writing on the date of such election that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Company is not in possession of any material non-public information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regarding Company or the Shares, (B) Company is electing Cash Settlement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good faith and not as part of a plan or scheme to evade compliance with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federal securities laws, and (C) the assets of Company at their fair valuation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exceed the liabilities of Company (including contingent liabilities),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Company has the ability to pay its debts and obligations as such debts mature;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and (iii) the same election of settlement method shall apply to all Expiration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Dates hereunder.</w:t>
            </w:r>
          </w:p>
        </w:tc>
        <w:tc>
          <w:tcPr>
            <w:tcW w:w="0" w:type="dxa"/>
            <w:vAlign w:val="bottom"/>
          </w:tcPr>
          <w:p>
            <w:pPr>
              <w:spacing w:after="0"/>
              <w:rPr>
                <w:sz w:val="1"/>
                <w:szCs w:val="1"/>
                <w:color w:val="auto"/>
              </w:rPr>
            </w:pPr>
          </w:p>
        </w:tc>
      </w:tr>
      <w:tr>
        <w:trPr>
          <w:trHeight w:val="324"/>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Electing Party:</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306"/>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Settlement Method Election Date:</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third Scheduled Trading Day immediately preceding the scheduled First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Expiration Date.</w:t>
            </w:r>
          </w:p>
        </w:tc>
        <w:tc>
          <w:tcPr>
            <w:tcW w:w="0" w:type="dxa"/>
            <w:vAlign w:val="bottom"/>
          </w:tcPr>
          <w:p>
            <w:pPr>
              <w:spacing w:after="0"/>
              <w:rPr>
                <w:sz w:val="1"/>
                <w:szCs w:val="1"/>
                <w:color w:val="auto"/>
              </w:rPr>
            </w:pPr>
          </w:p>
        </w:tc>
      </w:tr>
      <w:tr>
        <w:trPr>
          <w:trHeight w:val="324"/>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Default Settlement Method:</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Share Settlement</w:t>
            </w:r>
          </w:p>
        </w:tc>
        <w:tc>
          <w:tcPr>
            <w:tcW w:w="0" w:type="dxa"/>
            <w:vAlign w:val="bottom"/>
          </w:tcPr>
          <w:p>
            <w:pPr>
              <w:spacing w:after="0"/>
              <w:rPr>
                <w:sz w:val="1"/>
                <w:szCs w:val="1"/>
                <w:color w:val="auto"/>
              </w:rPr>
            </w:pPr>
          </w:p>
        </w:tc>
      </w:tr>
      <w:tr>
        <w:trPr>
          <w:trHeight w:val="306"/>
        </w:trPr>
        <w:tc>
          <w:tcPr>
            <w:tcW w:w="3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 Share Settlement:</w:t>
            </w: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If Net Share Settlement is applicable, then on the relevant Settlement Date,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Company shall deliver to Dealer a number of Shares equal to the Share Delivery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Quantity for such Settlement Date to the account specified herein free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payment through the Clearance System and Company shall pay to Dealer any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Fractional Share Amount. Dealer shall be treated as the holder of record of such</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at the time of delivery of such Shares or, if earlier, at 5:00 p.m. (New</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York City time) on such Settlement Date.</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00"/>
          </w:cols>
          <w:pgMar w:left="880" w:top="27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1" w:name="page262"/>
    <w:bookmarkEnd w:id="261"/>
    <w:p>
      <w:pPr>
        <w:spacing w:after="0"/>
        <w:rPr>
          <w:sz w:val="20"/>
          <w:szCs w:val="20"/>
          <w:color w:val="auto"/>
        </w:rPr>
      </w:pPr>
      <w:r>
        <w:rPr>
          <w:rFonts w:ascii="Times New Roman" w:cs="Times New Roman" w:eastAsia="Times New Roman" w:hAnsi="Times New Roman"/>
          <w:sz w:val="18"/>
          <w:szCs w:val="18"/>
          <w:color w:val="auto"/>
        </w:rPr>
        <w:t>Cash Settlement:</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If Cash Settlement is applicable, on the relevant Settlement Date, Company shall pay to Dealer an amount of cash in USD equal to the Net Share Settlement Amount for such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-587375</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540" w:space="720"/>
            <w:col w:w="5880"/>
          </w:cols>
          <w:pgMar w:left="1320" w:top="378"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Share Delivery Quantity:</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For any Settlement Date, a number of Shares, as calculated by the Calculation Agent, equal to the Net Share Settlement Amount for such Settlement Date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Settlement Price on the Valuation Date for such Settlement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rounded down to the nearest whole number.</w:t>
      </w:r>
    </w:p>
    <w:p>
      <w:pPr>
        <w:spacing w:after="0" w:line="72" w:lineRule="exact"/>
        <w:rPr>
          <w:sz w:val="20"/>
          <w:szCs w:val="20"/>
          <w:color w:val="auto"/>
        </w:rPr>
      </w:pPr>
    </w:p>
    <w:p>
      <w:pPr>
        <w:sectPr>
          <w:pgSz w:w="11900" w:h="16838" w:orient="portrait"/>
          <w:cols w:equalWidth="0" w:num="2">
            <w:col w:w="3540" w:space="720"/>
            <w:col w:w="5880"/>
          </w:cols>
          <w:pgMar w:left="1320" w:top="378" w:right="439" w:bottom="1440" w:gutter="0" w:footer="0" w:header="0"/>
          <w:type w:val="continuous"/>
        </w:sectPr>
      </w:pPr>
    </w:p>
    <w:p>
      <w:pPr>
        <w:ind w:left="4260" w:right="120"/>
        <w:spacing w:after="0" w:line="261" w:lineRule="auto"/>
        <w:rPr>
          <w:sz w:val="20"/>
          <w:szCs w:val="20"/>
          <w:color w:val="auto"/>
        </w:rPr>
      </w:pPr>
      <w:r>
        <w:rPr>
          <w:rFonts w:ascii="Times New Roman" w:cs="Times New Roman" w:eastAsia="Times New Roman" w:hAnsi="Times New Roman"/>
          <w:sz w:val="18"/>
          <w:szCs w:val="18"/>
          <w:color w:val="auto"/>
        </w:rPr>
        <w:t>Section 9.7 of the Equity Definitions is hereby amended by (i) replacing the words “Number of Shares to be Delivered” with the words “Share Delivery Quantity” in the second and third lines thereof and (ii) deleting the parenthetical in clause (a) thereof.</w:t>
      </w:r>
    </w:p>
    <w:p>
      <w:pPr>
        <w:sectPr>
          <w:pgSz w:w="11900" w:h="16838" w:orient="portrait"/>
          <w:cols w:equalWidth="0" w:num="1">
            <w:col w:w="10140"/>
          </w:cols>
          <w:pgMar w:left="1320" w:top="378" w:right="4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 Settlement Amount: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any Settlement Date, an amount equal to the product of (i) the number of Warrants exercised or deemed exercised on the relevant Exercise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(ii) the Strike Price Differential for the relevant Valuation Date and (iii) the Warrant Entitlement.</w:t>
      </w:r>
    </w:p>
    <w:p>
      <w:pPr>
        <w:spacing w:after="0" w:line="72" w:lineRule="exact"/>
        <w:rPr>
          <w:sz w:val="20"/>
          <w:szCs w:val="20"/>
          <w:color w:val="auto"/>
        </w:rPr>
      </w:pPr>
    </w:p>
    <w:p>
      <w:pPr>
        <w:sectPr>
          <w:pgSz w:w="11900" w:h="16838" w:orient="portrait"/>
          <w:cols w:equalWidth="0" w:num="2">
            <w:col w:w="3540" w:space="720"/>
            <w:col w:w="5880"/>
          </w:cols>
          <w:pgMar w:left="132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Price:</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For any Valuation Date, the per Share volume-weighted average price as displayed under the heading “Bloomberg VWAP” on Bloomberg page “AKAM &lt;equity&gt; AQR” (or any successor thereto) in respect of the period from the scheduled opening time of the Exchange to the Scheduled Closing Time on such Valuation Date (or if such volume-weighted average price is unavailable, the market value of one Share on such Valuation Date, as determined by the Calculation Agent). Notwithstanding the foregoing, if (i) any Expiration Date is a Disrupted Day and (ii) the Calculation Agent determines that such Expiration Date shall be an Expiration Date for fewer than the otherwise applicable Daily Number of Warrants, as described above, then the Settlement Price for the relevant Valuation Date shall be the volume-weighted average price per Share on such Valuation Date on the Exchange, as determined by the Calculation Agent based on such sources as it deems appropriate using a volume-weighted methodology, for the portion of such Valuation Date for which the Calculation Agent determines there is no Market Disruption Event.</w:t>
      </w:r>
    </w:p>
    <w:p>
      <w:pPr>
        <w:spacing w:after="0" w:line="88" w:lineRule="exact"/>
        <w:rPr>
          <w:sz w:val="20"/>
          <w:szCs w:val="20"/>
          <w:color w:val="auto"/>
        </w:rPr>
      </w:pPr>
    </w:p>
    <w:p>
      <w:pPr>
        <w:sectPr>
          <w:pgSz w:w="11900" w:h="16838" w:orient="portrait"/>
          <w:cols w:equalWidth="0" w:num="2">
            <w:col w:w="3540" w:space="720"/>
            <w:col w:w="5880"/>
          </w:cols>
          <w:pgMar w:left="132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Dates:</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As determined pursuant to Section 9.4 of the Equity Definitions, subject to Section 9(l)(i)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9.4 of the Equity Definitions is hereby amended by (i) inserting the words “or cash” immediately following the word “Shares” in the first line thereof and (ii) inserting the words “for the Shares” immediately following the words “Settlement Cycle” in the second line thereof.</w:t>
      </w:r>
    </w:p>
    <w:p>
      <w:pPr>
        <w:spacing w:after="0" w:line="120" w:lineRule="exact"/>
        <w:rPr>
          <w:sz w:val="20"/>
          <w:szCs w:val="20"/>
          <w:color w:val="auto"/>
        </w:rPr>
      </w:pPr>
    </w:p>
    <w:p>
      <w:pPr>
        <w:sectPr>
          <w:pgSz w:w="11900" w:h="16838" w:orient="portrait"/>
          <w:cols w:equalWidth="0" w:num="2">
            <w:col w:w="3540" w:space="720"/>
            <w:col w:w="5880"/>
          </w:cols>
          <w:pgMar w:left="1320" w:top="378" w:right="4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140"/>
          </w:cols>
          <w:pgMar w:left="1320" w:top="378" w:right="439" w:bottom="1440" w:gutter="0" w:footer="0" w:header="0"/>
          <w:type w:val="continuous"/>
        </w:sectPr>
      </w:pPr>
    </w:p>
    <w:bookmarkStart w:id="262" w:name="page263"/>
    <w:bookmarkEnd w:id="262"/>
    <w:p>
      <w:pPr>
        <w:ind w:left="884"/>
        <w:spacing w:after="0"/>
        <w:rPr>
          <w:sz w:val="20"/>
          <w:szCs w:val="20"/>
          <w:color w:val="auto"/>
        </w:rPr>
      </w:pPr>
      <w:r>
        <w:rPr>
          <w:rFonts w:ascii="Times New Roman" w:cs="Times New Roman" w:eastAsia="Times New Roman" w:hAnsi="Times New Roman"/>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4" w:right="320" w:hanging="444"/>
        <w:spacing w:after="0" w:line="582" w:lineRule="auto"/>
        <w:tabs>
          <w:tab w:leader="none" w:pos="436" w:val="left"/>
        </w:tabs>
        <w:numPr>
          <w:ilvl w:val="0"/>
          <w:numId w:val="2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applicable to the Transaction:</w:t>
      </w:r>
    </w:p>
    <w:p>
      <w:pPr>
        <w:spacing w:after="0" w:line="5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p>
      <w:pPr>
        <w:spacing w:after="0" w:line="36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New Shares:</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If Net Share Settlement is applicable, 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-857250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(i) any cash dividends or distributions on the Shares, whether or not extraordinary, shall be governed by Section 9(f) of this Confirmation in lieu of Article 10 or Section 11.2(c) of the Equity Definitions and (ii) the parties agree that (x) open market Share repurchases at prevailing market prices or (y) accelerated share repurchases, forward contracts or similar transactions (at, or at a commercially reasonable adjustment in relation to, prevailing market prices) that are entered into in accordance with customary, arm’s length terms for transactions of such type to repurchase the Shares (and, in the case of this clause (y), through a nationally recognized financial institution), shall not be considered a Potential Adjustment Event as long as the aggregate number of Shares repurchased during the term of the Transaction pursuant to all such transactions described in clauses (x) and (y) would not exceed 10% of the number of Shares outstanding as of the Trade Date, each as determined by Calculation Agent in a commercially reasonable manner and as adjusted by the Calculation Agent to account for any subdivision or combination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4424" w:space="720"/>
            <w:col w:w="5860"/>
          </w:cols>
          <w:pgMar w:left="436" w:top="378" w:right="459" w:bottom="1440" w:gutter="0" w:footer="0" w:header="0"/>
        </w:sectPr>
      </w:pPr>
    </w:p>
    <w:bookmarkStart w:id="263" w:name="page264"/>
    <w:bookmarkEnd w:id="263"/>
    <w:p>
      <w:pPr>
        <w:ind w:left="470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organized under the laws of the United States, any State thereof or the District of Columbia that either (1) becomes the Company under the Transaction following such Merger Event or Tender Offer or (2) wholly owns the Company under the Transaction following such Merger Event or Tender Offer (which Company is an entity or person that is organized under the laws of the United States, any State thereof or the District of Columbia) and fully and unconditionally guarantees the obligations of Company under the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 of Merger Events:</w:t>
      </w:r>
    </w:p>
    <w:p>
      <w:pPr>
        <w:sectPr>
          <w:pgSz w:w="11900" w:h="16838" w:orient="portrait"/>
          <w:cols w:equalWidth="0" w:num="1">
            <w:col w:w="10560"/>
          </w:cols>
          <w:pgMar w:left="880" w:top="270" w:right="45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Merger Event: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occurs that would otherwise constitute both a Merger Event under Section 12.1(b) of the Equity Definitions and an Additional Termination Event under Section 9(i)(ii)(B) of this Confirmation, the provisions of Section 12.2 of the Equity Definitions will apply.</w:t>
      </w:r>
    </w:p>
    <w:p>
      <w:pPr>
        <w:spacing w:after="0" w:line="74"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Share-for-Share:</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p>
      <w:pPr>
        <w:spacing w:after="0" w:line="117"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Component Adjustment (Calculation Agent Determination)</w:t>
      </w:r>
    </w:p>
    <w:p>
      <w:pPr>
        <w:spacing w:after="0" w:line="200"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Consequence of Tender Offers:</w:t>
      </w:r>
    </w:p>
    <w:p>
      <w:pPr>
        <w:sectPr>
          <w:pgSz w:w="11900" w:h="16838" w:orient="portrait"/>
          <w:cols w:equalWidth="0" w:num="1">
            <w:col w:w="10560"/>
          </w:cols>
          <w:pgMar w:left="880" w:top="270" w:right="459" w:bottom="1440" w:gutter="0" w:footer="0" w:header="0"/>
          <w:type w:val="continuous"/>
        </w:sect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Tender Offer: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Section 12.1(d) of the Equity Definitions is hereby amended by (i) inserting the word “similar” immediately prior to the word “event” in the second line thereof and (ii) replacing “10%” with “20%” in the third line thereof;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an event occurs that would otherwise constitute both a Tender Offer under Section 12.1(d) of the Equity Definitions and an Additional Termination Event under Section 9(i)(ii)(A) of this Confirmation, the provisions of Section 12.3 of the Equity Definitions will apply.</w:t>
      </w:r>
    </w:p>
    <w:p>
      <w:pPr>
        <w:spacing w:after="0" w:line="65"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Share-for-Share:</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Share-for-Other:</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Announcement Event:</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If an Announcement Date occurs in respect of (x) a Merger Event (for the avoidance of doubt, determined without regard to the language in the definition of “Merger Event” following the definition of “Reverse Merger” therein) or Tender Offer, (y) any potential acquisition by Issuer and/or its subsidiaries where the aggregate consideration exceeds 35% of the market capitalization of Issuer as of the relevant Announcement Date (an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or (z) a transaction or event or series of transactions or events that, if completed, would lead to a Merger Event, Tender</w:t>
      </w:r>
    </w:p>
    <w:p>
      <w:pPr>
        <w:spacing w:after="0" w:line="124"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60"/>
          </w:cols>
          <w:pgMar w:left="880" w:top="270" w:right="459" w:bottom="1440" w:gutter="0" w:footer="0" w:header="0"/>
          <w:type w:val="continuous"/>
        </w:sectPr>
      </w:pPr>
    </w:p>
    <w:bookmarkStart w:id="264" w:name="page265"/>
    <w:bookmarkEnd w:id="264"/>
    <w:p>
      <w:pPr>
        <w:ind w:left="426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 or Acquisition Transaction (such occurrence, an “</w:t>
      </w:r>
      <w:r>
        <w:rPr>
          <w:rFonts w:ascii="Times New Roman" w:cs="Times New Roman" w:eastAsia="Times New Roman" w:hAnsi="Times New Roman"/>
          <w:sz w:val="18"/>
          <w:szCs w:val="18"/>
          <w:b w:val="1"/>
          <w:bCs w:val="1"/>
          <w:color w:val="auto"/>
        </w:rPr>
        <w:t>Announcement Event</w:t>
      </w:r>
      <w:r>
        <w:rPr>
          <w:rFonts w:ascii="Times New Roman" w:cs="Times New Roman" w:eastAsia="Times New Roman" w:hAnsi="Times New Roman"/>
          <w:sz w:val="18"/>
          <w:szCs w:val="18"/>
          <w:color w:val="auto"/>
        </w:rPr>
        <w:t>”), then on one or more occasions on or after the relevant Announcement Date up to, and including, the earliest of the Expiration Date, Early Termination Date or other date of cancellation (each, an “</w:t>
      </w:r>
      <w:r>
        <w:rPr>
          <w:rFonts w:ascii="Times New Roman" w:cs="Times New Roman" w:eastAsia="Times New Roman" w:hAnsi="Times New Roman"/>
          <w:sz w:val="18"/>
          <w:szCs w:val="18"/>
          <w:b w:val="1"/>
          <w:bCs w:val="1"/>
          <w:color w:val="auto"/>
        </w:rPr>
        <w:t>Announcement Event Adjustment Date</w:t>
      </w:r>
      <w:r>
        <w:rPr>
          <w:rFonts w:ascii="Times New Roman" w:cs="Times New Roman" w:eastAsia="Times New Roman" w:hAnsi="Times New Roman"/>
          <w:sz w:val="18"/>
          <w:szCs w:val="18"/>
          <w:color w:val="auto"/>
        </w:rPr>
        <w:t>”) in respect of each Warrant, the Calculation Agent will determine the economic effect on such Warrant of the Announcement Event (regardless of whether the Announcement Event actually results in a Merger Event, Tender Offer or Acquisition Transaction, and taking into account solely changes in volatility, expected dividends, stock loan rate or liquidity relevant to the Shares or the Transaction, whether within a commercially reasonable (as determined by the Calculation Agent) period of time prior to or after the Announcement Event). If the Calculation Agent determines that such economic effect on any Warrant is material, then on each Announcement Event Adjustment Date for such Warrant, the Calculation Agent shall make such adjustment to the exercise, settlement, payment or any other terms of such Warrant as the Calculation Agent determines appropriate to account for such economic effect, it being understood that any adjustment in respect of an Announcement Event shall take into account any earlier adjustment relating to the same Announcement Event.</w:t>
      </w:r>
    </w:p>
    <w:p>
      <w:pPr>
        <w:sectPr>
          <w:pgSz w:w="11900" w:h="16838" w:orient="portrait"/>
          <w:cols w:equalWidth="0" w:num="1">
            <w:col w:w="10140"/>
          </w:cols>
          <w:pgMar w:left="1320" w:top="266" w:right="4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definition of “Announcement Date” in Section 12.1(l) of the Equity Definitions is hereby amended by (i) replacing the words “a firm” with the word “any” in the second and fourth lines thereof, (ii) replacing the word “leads to the” with the words “, if completed, would lead to a” in the third and the fifth lines thereof, (iii) replacing the words “voting shares” with the word “Shares” in the fifth line thereof, (iv) inserting the words “by (x) Company or any acquirer in, or other contemplated party to, the relevant transaction, (y) the board of directors of Company or any such acquirer or contemplated party, or (z) any advisor to or agent of Company or any such acquirer or other contemplated party” after the word “announcement” in the second and the fourth lines thereof, (v) inserting the word “potential” following the words “in the case of a” at the beginning of clauses (i) and (ii) therein, (vi) inserting the words “or Acquisition Transaction” after the words “Merger Event” in the second line thereof and (vii) inserting the words “or Acquisition Transaction, as the case may be” after the words “Merger Event” in the third line thereof. An Acquisition Transaction shall be an “Extraordinary Event” for purposes of Section 12.1(l) of the Equity Definitions.</w:t>
      </w:r>
    </w:p>
    <w:p>
      <w:pPr>
        <w:spacing w:after="0" w:line="85" w:lineRule="exact"/>
        <w:rPr>
          <w:sz w:val="20"/>
          <w:szCs w:val="20"/>
          <w:color w:val="auto"/>
        </w:rPr>
      </w:pPr>
    </w:p>
    <w:p>
      <w:pPr>
        <w:sectPr>
          <w:pgSz w:w="11900" w:h="16838" w:orient="portrait"/>
          <w:cols w:equalWidth="0" w:num="2">
            <w:col w:w="3540" w:space="720"/>
            <w:col w:w="5880"/>
          </w:cols>
          <w:pgMar w:left="1320" w:top="266"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w:t>
      </w:r>
    </w:p>
    <w:p>
      <w:pPr>
        <w:spacing w:after="0" w:line="118" w:lineRule="exact"/>
        <w:rPr>
          <w:sz w:val="20"/>
          <w:szCs w:val="20"/>
          <w:color w:val="auto"/>
        </w:rPr>
      </w:pPr>
    </w:p>
    <w:p>
      <w:pPr>
        <w:sectPr>
          <w:pgSz w:w="11900" w:h="16838" w:orient="portrait"/>
          <w:cols w:equalWidth="0" w:num="2">
            <w:col w:w="3540" w:space="720"/>
            <w:col w:w="5880"/>
          </w:cols>
          <w:pgMar w:left="1320" w:top="266" w:right="4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140"/>
          </w:cols>
          <w:pgMar w:left="1320" w:top="266" w:right="439" w:bottom="1440" w:gutter="0" w:footer="0" w:header="0"/>
          <w:type w:val="continuous"/>
        </w:sectPr>
      </w:pPr>
    </w:p>
    <w:bookmarkStart w:id="265" w:name="page266"/>
    <w:bookmarkEnd w:id="265"/>
    <w:p>
      <w:pPr>
        <w:ind w:left="4700" w:right="1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ectPr>
          <w:pgSz w:w="11900" w:h="16838" w:orient="portrait"/>
          <w:cols w:equalWidth="0" w:num="1">
            <w:col w:w="10560"/>
          </w:cols>
          <w:pgMar w:left="880" w:top="270" w:right="459" w:bottom="1440" w:gutter="0" w:footer="0" w:header="0"/>
        </w:sect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in Law:</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(a) adding in the last line after “on its tax position)” the following: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has undertaken, and was unable after using commercially reasonable efforts, to utilize alternative Hedge Positions on commercially reasonable pricing terms, as long as (i) it would not violate any applicable law, rule, regulation or policy of such party to hold, acquire or dispose of such alternative Hedge Positions and (ii) such party would not incur a materially increased cost in performing its obligations under such Transaction or entering into and performing such alternative Hedge Positions (including, without limitation, due to any tax, duty, expense or fee, or any increase in tax liability, decrease in tax benefit or other adverse effect on its tax position)”, (b) replacing the parenthetical beginning after the word “regulation” in the second line thereof with the words “(including, for the avoidance of doubt and without limitation, (x) any tax law or (y) adoption or promulgation of new regulations authorized or mandated by existing statute),” and (c) replacing the word “Shares” with the phrase “Hedge Positions”.</w:t>
      </w:r>
    </w:p>
    <w:p>
      <w:pPr>
        <w:spacing w:after="0" w:line="89"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8"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6"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0" w:lineRule="exact"/>
        <w:rPr>
          <w:sz w:val="20"/>
          <w:szCs w:val="20"/>
          <w:color w:val="auto"/>
        </w:rPr>
      </w:pPr>
    </w:p>
    <w:p>
      <w:pPr>
        <w:sectPr>
          <w:pgSz w:w="11900" w:h="16838" w:orient="portrait"/>
          <w:cols w:equalWidth="0" w:num="2">
            <w:col w:w="3980" w:space="720"/>
            <w:col w:w="5860"/>
          </w:cols>
          <w:pgMar w:left="880" w:top="270" w:right="45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12.9(a)(v) of the Equity Definitions is hereby amended 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inserting after the word “necessary” in the third line thereof the words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its reasonable discretion”, (b) inserting the following words at the end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clause (A) thereof: “in the manner contemplated by the Hedging Party 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Trade Date” and (c) inserting the following two phrases at the end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such Section:</w:t>
      </w:r>
    </w:p>
    <w:p>
      <w:pPr>
        <w:spacing w:after="0" w:line="112" w:lineRule="exact"/>
        <w:rPr>
          <w:sz w:val="20"/>
          <w:szCs w:val="20"/>
          <w:color w:val="auto"/>
        </w:rPr>
      </w:pPr>
    </w:p>
    <w:p>
      <w:pPr>
        <w:sectPr>
          <w:pgSz w:w="11900" w:h="16838" w:orient="portrait"/>
          <w:cols w:equalWidth="0" w:num="2">
            <w:col w:w="4920" w:space="120"/>
            <w:col w:w="5520"/>
          </w:cols>
          <w:pgMar w:left="880" w:top="270" w:right="459" w:bottom="1440" w:gutter="0" w:footer="0" w:header="0"/>
          <w:type w:val="continuous"/>
        </w:sectPr>
      </w:pPr>
    </w:p>
    <w:p>
      <w:pPr>
        <w:ind w:left="5060" w:right="40"/>
        <w:spacing w:after="0" w:line="258" w:lineRule="auto"/>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60"/>
          </w:cols>
          <w:pgMar w:left="880" w:top="270" w:right="459" w:bottom="1440" w:gutter="0" w:footer="0" w:header="0"/>
          <w:type w:val="continuous"/>
        </w:sectPr>
      </w:pPr>
    </w:p>
    <w:bookmarkStart w:id="266" w:name="page267"/>
    <w:bookmarkEnd w:id="266"/>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third line thereof, after the words “to terminate the Transaction”, the words “or a</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portion of the Transaction affected by such Hedging Disruption”.</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Increased Cost of Hedging:</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 of Stock Borrow:</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Maximum Stock Loan Rate:</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 basis points</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Increased Cost of Stock Borrow:</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Initial Stock Loan Rate:</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 basis points</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Hedging Party:</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all applicable Additional Disruption Events, Dealer.</w:t>
            </w:r>
          </w:p>
        </w:tc>
      </w:tr>
      <w:tr>
        <w:trPr>
          <w:trHeight w:val="306"/>
        </w:trPr>
        <w:tc>
          <w:tcPr>
            <w:tcW w:w="3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Determining Party:</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any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determination or calculation by the Determining Party hereunder, upon a written request</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either party, the Determining Party will promptly (but in any event within three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Scheduled Trading Days) provide to such party a statement displaying in reasonable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detail the basis for such determination or calculation (including, without limitation, any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quotes, market data or information from internal or external sources and any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assumptions used in making such determination or calculation) as the case may be (it</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being understood that the Determining Party shall not be required to disclose any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models or information or confidential models or information used by it in</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connection with such determination or calculation, as the case may be).</w:t>
            </w:r>
          </w:p>
        </w:tc>
      </w:tr>
      <w:tr>
        <w:trPr>
          <w:trHeight w:val="324"/>
        </w:trPr>
        <w:tc>
          <w:tcPr>
            <w:tcW w:w="3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Non-Reliance:</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3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Agreements and Acknowledgments Regarding Hedging</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34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64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w:t>
            </w:r>
          </w:p>
        </w:tc>
      </w:tr>
      <w:tr>
        <w:trPr>
          <w:trHeight w:val="283"/>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Calculation Agent.</w:t>
            </w: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Dealer, unless an Event of Default has occurred and is continuing pursuant to</w:t>
            </w:r>
          </w:p>
        </w:tc>
      </w:tr>
      <w:tr>
        <w:trPr>
          <w:trHeight w:val="218"/>
        </w:trPr>
        <w:tc>
          <w:tcPr>
            <w:tcW w:w="3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5(a)(vii) of the Agreement with respect to which Dealer is the Defaulting Party,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which case Company shall have the right to designate a nationally recognized third-</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party dealer in over-the-counter corporate equity derivatives to replace Dealer as</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 Agent, and the parties shall work in good faith to execute any appropriate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documentation required by such replacement Calculation Agent. All calculations and</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determinations by the Calculation Agent shall be made in good faith and in a</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commercially reasonable manner. Following any determination or calculation by the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 Agent hereunder, upon a written request from either party, the Calculation</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will promptly (but in any event within three Scheduled Trading Days) provide to</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such party a statement displaying in reasonable detail</w:t>
            </w:r>
          </w:p>
        </w:tc>
      </w:tr>
      <w:tr>
        <w:trPr>
          <w:trHeight w:val="365"/>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w:t>
            </w:r>
          </w:p>
        </w:tc>
      </w:tr>
    </w:tbl>
    <w:p>
      <w:pPr>
        <w:ind w:left="920"/>
        <w:spacing w:after="0"/>
        <w:rPr>
          <w:sz w:val="20"/>
          <w:szCs w:val="20"/>
          <w:color w:val="auto"/>
        </w:rPr>
        <w:sectPr>
          <w:pgSz w:w="11900" w:h="16838" w:orient="portrait"/>
          <w:cols w:equalWidth="0" w:num="1">
            <w:col w:w="10980"/>
          </w:cols>
          <w:pgMar w:left="440" w:top="37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7" w:name="page268"/>
    <w:bookmarkEnd w:id="267"/>
    <w:p>
      <w:pPr>
        <w:ind w:left="51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basis for such determination or calculation (including, without limitation, any quotations, market data or information from internal or external sources and any assumptions used in making such determination or calculation), as the case may be (it being understood that the Calculation Agent shall not be required to disclose any proprietary models or information or confidential models or information used by it in connection with such determination or calculation, as the case may be).</w:t>
      </w:r>
    </w:p>
    <w:p>
      <w:pPr>
        <w:spacing w:after="0" w:line="90" w:lineRule="exact"/>
        <w:rPr>
          <w:sz w:val="20"/>
          <w:szCs w:val="20"/>
          <w:color w:val="auto"/>
        </w:rPr>
      </w:pPr>
    </w:p>
    <w:p>
      <w:pPr>
        <w:ind w:left="424" w:hanging="424"/>
        <w:spacing w:after="0"/>
        <w:tabs>
          <w:tab w:leader="none" w:pos="424"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Company:</w:t>
      </w:r>
    </w:p>
    <w:p>
      <w:pPr>
        <w:spacing w:after="0" w:line="252"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Bank:</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ABA#:</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SWIFT:</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Acct Name:</w:t>
        <w:tab/>
        <w:t>[***]</w:t>
      </w:r>
    </w:p>
    <w:p>
      <w:pPr>
        <w:spacing w:after="0" w:line="23"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Acct No.:</w:t>
      </w:r>
      <w:r>
        <w:rPr>
          <w:sz w:val="20"/>
          <w:szCs w:val="20"/>
          <w:color w:val="auto"/>
        </w:rPr>
        <w:tab/>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Account for delivery of Shares from Company: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be provided by Company.</w:t>
      </w:r>
    </w:p>
    <w:p>
      <w:pPr>
        <w:spacing w:after="0" w:line="131" w:lineRule="exact"/>
        <w:rPr>
          <w:sz w:val="20"/>
          <w:szCs w:val="20"/>
          <w:color w:val="auto"/>
        </w:rPr>
      </w:pPr>
    </w:p>
    <w:p>
      <w:pPr>
        <w:ind w:left="964" w:hanging="532"/>
        <w:spacing w:after="0"/>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252"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Bank:</w:t>
      </w:r>
      <w:r>
        <w:rPr>
          <w:sz w:val="20"/>
          <w:szCs w:val="20"/>
          <w:color w:val="auto"/>
        </w:rPr>
        <w:tab/>
      </w:r>
      <w:r>
        <w:rPr>
          <w:rFonts w:ascii="Times New Roman" w:cs="Times New Roman" w:eastAsia="Times New Roman" w:hAnsi="Times New Roman"/>
          <w:sz w:val="18"/>
          <w:szCs w:val="18"/>
          <w:color w:val="auto"/>
        </w:rPr>
        <w:t>[___]</w:t>
      </w:r>
    </w:p>
    <w:p>
      <w:pPr>
        <w:spacing w:after="0" w:line="27"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[___]</w:t>
      </w:r>
    </w:p>
    <w:p>
      <w:pPr>
        <w:spacing w:after="0" w:line="9"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ABA#:</w:t>
      </w:r>
      <w:r>
        <w:rPr>
          <w:sz w:val="20"/>
          <w:szCs w:val="20"/>
          <w:color w:val="auto"/>
        </w:rPr>
        <w:tab/>
      </w:r>
      <w:r>
        <w:rPr>
          <w:rFonts w:ascii="Times New Roman" w:cs="Times New Roman" w:eastAsia="Times New Roman" w:hAnsi="Times New Roman"/>
          <w:sz w:val="18"/>
          <w:szCs w:val="18"/>
          <w:color w:val="auto"/>
        </w:rPr>
        <w:t>[___]</w:t>
      </w:r>
    </w:p>
    <w:p>
      <w:pPr>
        <w:spacing w:after="0" w:line="9"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SWIFT:</w:t>
      </w:r>
      <w:r>
        <w:rPr>
          <w:sz w:val="20"/>
          <w:szCs w:val="20"/>
          <w:color w:val="auto"/>
        </w:rPr>
        <w:tab/>
      </w:r>
      <w:r>
        <w:rPr>
          <w:rFonts w:ascii="Times New Roman" w:cs="Times New Roman" w:eastAsia="Times New Roman" w:hAnsi="Times New Roman"/>
          <w:sz w:val="18"/>
          <w:szCs w:val="18"/>
          <w:color w:val="auto"/>
        </w:rPr>
        <w:t>[___]</w:t>
      </w:r>
    </w:p>
    <w:p>
      <w:pPr>
        <w:spacing w:after="0" w:line="9"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Acct Name:</w:t>
        <w:tab/>
        <w:t>[___]</w:t>
      </w:r>
    </w:p>
    <w:p>
      <w:pPr>
        <w:spacing w:after="0" w:line="9" w:lineRule="exact"/>
        <w:rPr>
          <w:sz w:val="20"/>
          <w:szCs w:val="20"/>
          <w:color w:val="auto"/>
        </w:rPr>
      </w:pPr>
    </w:p>
    <w:p>
      <w:pPr>
        <w:ind w:left="1004"/>
        <w:spacing w:after="0"/>
        <w:tabs>
          <w:tab w:leader="none" w:pos="1984" w:val="left"/>
        </w:tabs>
        <w:rPr>
          <w:sz w:val="20"/>
          <w:szCs w:val="20"/>
          <w:color w:val="auto"/>
        </w:rPr>
      </w:pPr>
      <w:r>
        <w:rPr>
          <w:rFonts w:ascii="Times New Roman" w:cs="Times New Roman" w:eastAsia="Times New Roman" w:hAnsi="Times New Roman"/>
          <w:sz w:val="18"/>
          <w:szCs w:val="18"/>
          <w:color w:val="auto"/>
        </w:rPr>
        <w:t>Acct No.:</w:t>
      </w:r>
      <w:r>
        <w:rPr>
          <w:sz w:val="20"/>
          <w:szCs w:val="20"/>
          <w:color w:val="auto"/>
        </w:rPr>
        <w:tab/>
      </w:r>
      <w:r>
        <w:rPr>
          <w:rFonts w:ascii="Times New Roman" w:cs="Times New Roman" w:eastAsia="Times New Roman" w:hAnsi="Times New Roman"/>
          <w:sz w:val="18"/>
          <w:szCs w:val="18"/>
          <w:color w:val="auto"/>
        </w:rPr>
        <w:t>[___]</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Account for delivery of Shares to Dealer:</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be provided by Dealer.</w:t>
      </w:r>
    </w:p>
    <w:p>
      <w:pPr>
        <w:spacing w:after="0" w:line="127" w:lineRule="exact"/>
        <w:rPr>
          <w:sz w:val="20"/>
          <w:szCs w:val="20"/>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Company for the Transaction is: Inapplicable, Company is not a Multibranch Party.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[____][Inapplicable, Dealer is not a Multibranch Party].</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Company:</w:t>
      </w:r>
    </w:p>
    <w:p>
      <w:pPr>
        <w:sectPr>
          <w:pgSz w:w="11900" w:h="16838" w:orient="portrait"/>
          <w:cols w:equalWidth="0" w:num="1">
            <w:col w:w="10984"/>
          </w:cols>
          <w:pgMar w:left="436" w:top="378" w:right="479" w:bottom="1440" w:gutter="0" w:footer="0" w:header="0"/>
        </w:sectPr>
      </w:pPr>
    </w:p>
    <w:p>
      <w:pPr>
        <w:spacing w:after="0" w:line="252"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Facsimile:</w:t>
      </w:r>
    </w:p>
    <w:p>
      <w:pPr>
        <w:spacing w:after="0" w:line="23"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Edward McGowan, Executive Vice President &amp; 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sectPr>
          <w:pgSz w:w="11900" w:h="16838" w:orient="portrait"/>
          <w:cols w:equalWidth="0" w:num="2">
            <w:col w:w="1804" w:space="200"/>
            <w:col w:w="8980"/>
          </w:cols>
          <w:pgMar w:left="436" w:top="378"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378" w:right="479" w:bottom="1440" w:gutter="0" w:footer="0" w:header="0"/>
          <w:type w:val="continuous"/>
        </w:sectPr>
      </w:pPr>
    </w:p>
    <w:bookmarkStart w:id="268" w:name="page269"/>
    <w:bookmarkEnd w:id="268"/>
    <w:p>
      <w:pPr>
        <w:ind w:left="6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of all legal notices to:</w:t>
      </w:r>
    </w:p>
    <w:p>
      <w:pPr>
        <w:spacing w:after="0" w:line="225"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145 Broadway</w:t>
      </w:r>
    </w:p>
    <w:p>
      <w:pPr>
        <w:spacing w:after="0" w:line="9"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Aaron Ahola, Executive Vice President, General Counsel &amp; Corporate Secretary</w:t>
      </w:r>
    </w:p>
    <w:p>
      <w:pPr>
        <w:spacing w:after="0" w:line="21"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With a copy of all legal notices to:</w:t>
      </w:r>
    </w:p>
    <w:p>
      <w:pPr>
        <w:spacing w:after="0" w:line="225"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9"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Susan Murley</w:t>
      </w:r>
    </w:p>
    <w:p>
      <w:pPr>
        <w:spacing w:after="0" w:line="9"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4"/>
        <w:spacing w:after="0"/>
        <w:tabs>
          <w:tab w:leader="none" w:pos="190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964" w:hanging="532"/>
        <w:spacing w:after="0"/>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ectPr>
          <w:pgSz w:w="11900" w:h="16838" w:orient="portrait"/>
          <w:cols w:equalWidth="0" w:num="1">
            <w:col w:w="11004"/>
          </w:cols>
          <w:pgMar w:left="436" w:top="270" w:right="459" w:bottom="1440" w:gutter="0" w:footer="0" w:header="0"/>
        </w:sectPr>
      </w:pPr>
    </w:p>
    <w:p>
      <w:pPr>
        <w:spacing w:after="0" w:line="25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1" w:lineRule="exact"/>
        <w:rPr>
          <w:sz w:val="20"/>
          <w:szCs w:val="20"/>
          <w:color w:val="auto"/>
        </w:rPr>
      </w:pPr>
    </w:p>
    <w:p>
      <w:pPr>
        <w:sectPr>
          <w:pgSz w:w="11900" w:h="16838" w:orient="portrait"/>
          <w:cols w:equalWidth="0" w:num="2">
            <w:col w:w="1604" w:space="720"/>
            <w:col w:w="8680"/>
          </w:cols>
          <w:pgMar w:left="436" w:top="270" w:right="459" w:bottom="1440" w:gutter="0" w:footer="0" w:header="0"/>
          <w:type w:val="continuous"/>
        </w:sectPr>
      </w:pPr>
    </w:p>
    <w:p>
      <w:pPr>
        <w:spacing w:after="0" w:line="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7"/>
          <w:szCs w:val="17"/>
          <w:color w:val="auto"/>
        </w:rPr>
        <w:t>With a copy to:</w:t>
      </w:r>
    </w:p>
    <w:p>
      <w:pPr>
        <w:spacing w:after="0" w:line="200" w:lineRule="exact"/>
        <w:rPr>
          <w:sz w:val="20"/>
          <w:szCs w:val="20"/>
          <w:color w:val="auto"/>
        </w:rPr>
      </w:pPr>
    </w:p>
    <w:p>
      <w:pPr>
        <w:spacing w:after="0" w:line="25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119" w:lineRule="exact"/>
        <w:rPr>
          <w:sz w:val="20"/>
          <w:szCs w:val="20"/>
          <w:color w:val="auto"/>
        </w:rPr>
      </w:pPr>
    </w:p>
    <w:p>
      <w:pPr>
        <w:sectPr>
          <w:pgSz w:w="11900" w:h="16838" w:orient="portrait"/>
          <w:cols w:equalWidth="0" w:num="2">
            <w:col w:w="1764" w:space="560"/>
            <w:col w:w="8680"/>
          </w:cols>
          <w:pgMar w:left="436" w:top="270" w:right="459" w:bottom="1440" w:gutter="0" w:footer="0" w:header="0"/>
          <w:type w:val="continuous"/>
        </w:sectPr>
      </w:pPr>
    </w:p>
    <w:p>
      <w:pPr>
        <w:ind w:left="424" w:hanging="424"/>
        <w:spacing w:after="0"/>
        <w:tabs>
          <w:tab w:leader="none" w:pos="424"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Company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right="9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hereby represents and warrants to Dealer on the date hereof, on and as of the Premium Payment Date and, in the case of the representations in Section 8(d), at all times until termination of the Transaction, that:</w:t>
      </w:r>
    </w:p>
    <w:p>
      <w:pPr>
        <w:spacing w:after="0" w:line="67" w:lineRule="exact"/>
        <w:rPr>
          <w:rFonts w:ascii="Times New Roman" w:cs="Times New Roman" w:eastAsia="Times New Roman" w:hAnsi="Times New Roman"/>
          <w:sz w:val="18"/>
          <w:szCs w:val="18"/>
          <w:b w:val="1"/>
          <w:bCs w:val="1"/>
          <w:color w:val="auto"/>
        </w:rPr>
      </w:pPr>
    </w:p>
    <w:p>
      <w:pPr>
        <w:ind w:left="964" w:hanging="532"/>
        <w:spacing w:after="0" w:line="254"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97" w:lineRule="exact"/>
        <w:rPr>
          <w:rFonts w:ascii="Times New Roman" w:cs="Times New Roman" w:eastAsia="Times New Roman" w:hAnsi="Times New Roman"/>
          <w:sz w:val="18"/>
          <w:szCs w:val="18"/>
          <w:color w:val="auto"/>
        </w:rPr>
      </w:pPr>
    </w:p>
    <w:p>
      <w:pPr>
        <w:jc w:val="both"/>
        <w:ind w:left="964" w:right="400" w:hanging="532"/>
        <w:spacing w:after="0" w:line="266"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Company hereunder will conflict with or result in a breach of (i) the certificate of incorporation or by-laws (or any equivalent documents) of Company, (ii) any applicable law or regulation, or any order, writ, injunction or decree of any court or governmental authority or agency,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type w:val="continuous"/>
        </w:sectPr>
      </w:pPr>
    </w:p>
    <w:bookmarkStart w:id="269" w:name="page270"/>
    <w:bookmarkEnd w:id="269"/>
    <w:p>
      <w:pPr>
        <w:ind w:left="98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(iii) any agreement or instrument filed as an exhibit to Company’s Annual Report on Form 10-K for the year ended December 31, 2025,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 other than, in the case of clause (iii), any such conflict, breach, default or lien that would not have a material adverse effect on Company’s ability to perform its obligations under the Transaction.</w:t>
      </w:r>
    </w:p>
    <w:p>
      <w:pPr>
        <w:spacing w:after="0" w:line="89" w:lineRule="exact"/>
        <w:rPr>
          <w:sz w:val="20"/>
          <w:szCs w:val="20"/>
          <w:color w:val="auto"/>
        </w:rPr>
      </w:pPr>
    </w:p>
    <w:p>
      <w:pPr>
        <w:jc w:val="both"/>
        <w:ind w:left="964" w:right="260" w:hanging="532"/>
        <w:spacing w:after="0" w:line="266"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state securities laws.</w:t>
      </w:r>
    </w:p>
    <w:p>
      <w:pPr>
        <w:spacing w:after="0" w:line="77" w:lineRule="exact"/>
        <w:rPr>
          <w:rFonts w:ascii="Times New Roman" w:cs="Times New Roman" w:eastAsia="Times New Roman" w:hAnsi="Times New Roman"/>
          <w:sz w:val="18"/>
          <w:szCs w:val="18"/>
          <w:color w:val="auto"/>
        </w:rPr>
      </w:pPr>
    </w:p>
    <w:p>
      <w:pPr>
        <w:ind w:left="964" w:hanging="532"/>
        <w:spacing w:after="0" w:line="259"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the Maximum Number of Shares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88"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an “eligible contract participant,” as such term is defined in Section 1a(18) of the Commodity Exchange Act, as amended.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not, on the date hereof, in possession of any material non-public information with respect to Company or the Shares.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81" w:lineRule="exact"/>
        <w:rPr>
          <w:rFonts w:ascii="Times New Roman" w:cs="Times New Roman" w:eastAsia="Times New Roman" w:hAnsi="Times New Roman"/>
          <w:sz w:val="18"/>
          <w:szCs w:val="18"/>
          <w:color w:val="auto"/>
        </w:rPr>
      </w:pPr>
    </w:p>
    <w:p>
      <w:pPr>
        <w:ind w:left="964" w:right="200" w:hanging="532"/>
        <w:spacing w:after="0" w:line="261"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5" w:lineRule="exact"/>
        <w:rPr>
          <w:rFonts w:ascii="Times New Roman" w:cs="Times New Roman" w:eastAsia="Times New Roman" w:hAnsi="Times New Roman"/>
          <w:sz w:val="18"/>
          <w:szCs w:val="18"/>
          <w:color w:val="auto"/>
        </w:rPr>
      </w:pPr>
    </w:p>
    <w:p>
      <w:pPr>
        <w:ind w:left="964" w:right="100" w:hanging="532"/>
        <w:spacing w:after="0" w:line="284" w:lineRule="auto"/>
        <w:tabs>
          <w:tab w:leader="none" w:pos="964"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received, read and understands the OTC Options Risk Disclosure Statement provided by Dealer and a copy of the most recent disclosure pamphlet prepared by The Options Clearing Corporation entitled “Characteristics and Risks of Standardized Options”.]</w:t>
      </w:r>
      <w:r>
        <w:rPr>
          <w:rFonts w:ascii="Times New Roman" w:cs="Times New Roman" w:eastAsia="Times New Roman" w:hAnsi="Times New Roman"/>
          <w:sz w:val="25"/>
          <w:szCs w:val="25"/>
          <w:color w:val="auto"/>
          <w:vertAlign w:val="superscript"/>
        </w:rPr>
        <w:t>6</w:t>
      </w:r>
    </w:p>
    <w:p>
      <w:pPr>
        <w:spacing w:after="0" w:line="1"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08" w:lineRule="exact"/>
        <w:rPr>
          <w:rFonts w:ascii="Times New Roman" w:cs="Times New Roman" w:eastAsia="Times New Roman" w:hAnsi="Times New Roman"/>
          <w:sz w:val="18"/>
          <w:szCs w:val="18"/>
          <w:b w:val="1"/>
          <w:bCs w:val="1"/>
          <w:color w:val="auto"/>
        </w:rPr>
      </w:pPr>
    </w:p>
    <w:p>
      <w:pPr>
        <w:ind w:left="964" w:hanging="532"/>
        <w:spacing w:after="0" w:line="267" w:lineRule="auto"/>
        <w:tabs>
          <w:tab w:leader="none" w:pos="96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Company shall deliver to Dealer an opinion of counsel, dated as of the Premium Payment Date, with respect to the matters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Sections 8(a) through (d) of this Confirmation. Delivery of such opinion to Dealer shall be a condition precedent for the purpose of Section 2(a)(iii) of the Agreement with respect to each obligation of Dealer under Section 2(a)(i)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2" w:lineRule="exact"/>
        <w:rPr>
          <w:sz w:val="20"/>
          <w:szCs w:val="20"/>
          <w:color w:val="auto"/>
        </w:rPr>
      </w:pPr>
    </w:p>
    <w:p>
      <w:pPr>
        <w:ind w:left="424" w:hanging="424"/>
        <w:spacing w:after="0"/>
        <w:tabs>
          <w:tab w:leader="none" w:pos="424" w:val="left"/>
        </w:tabs>
        <w:numPr>
          <w:ilvl w:val="0"/>
          <w:numId w:val="2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70" w:name="page271"/>
    <w:bookmarkEnd w:id="270"/>
    <w:p>
      <w:pPr>
        <w:ind w:left="964" w:hanging="532"/>
        <w:spacing w:after="0" w:line="262" w:lineRule="auto"/>
        <w:tabs>
          <w:tab w:leader="none" w:pos="964"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Notices</w:t>
      </w:r>
      <w:r>
        <w:rPr>
          <w:rFonts w:ascii="Times New Roman" w:cs="Times New Roman" w:eastAsia="Times New Roman" w:hAnsi="Times New Roman"/>
          <w:sz w:val="17"/>
          <w:szCs w:val="17"/>
          <w:color w:val="auto"/>
        </w:rPr>
        <w:t>. Company shall, on any day on which Company effects any repurchase of Shares, promptly give Dealer a written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notice of such repurchase (a “</w:t>
      </w:r>
      <w:r>
        <w:rPr>
          <w:rFonts w:ascii="Times New Roman" w:cs="Times New Roman" w:eastAsia="Times New Roman" w:hAnsi="Times New Roman"/>
          <w:sz w:val="17"/>
          <w:szCs w:val="17"/>
          <w:b w:val="1"/>
          <w:bCs w:val="1"/>
          <w:color w:val="auto"/>
        </w:rPr>
        <w:t>Repurchase Notice</w:t>
      </w:r>
      <w:r>
        <w:rPr>
          <w:rFonts w:ascii="Times New Roman" w:cs="Times New Roman" w:eastAsia="Times New Roman" w:hAnsi="Times New Roman"/>
          <w:sz w:val="17"/>
          <w:szCs w:val="17"/>
          <w:color w:val="auto"/>
        </w:rPr>
        <w:t>”) on such day if following such repurchase, the number of outstanding Shares on such day, subject to any adjustments provided herein, is (i) less than [__]</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million (in the case of the first such notice) or (ii) thereafter more than [__]</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xml:space="preserve">”)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be liable for any losses, claims, damages or liabilities (or expenses relating thereto) of any Indemnified Person that result from the bad faith, gross negligence or willful misconduct of such Indemnified Person.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Company be responsible hereunder for any fees and expenses of more than one counsel (in addition to any local counsel) for all Indemnified Persons in connection with any suit, action, proceeding (including any governmental or regulatory investigation), claim or demand in the same jurisdiction. The indemnity and contribution agreements contained in this paragraph shall remain operative and in full force and effect regardless of the termination of the Transaction.</w:t>
      </w:r>
    </w:p>
    <w:p>
      <w:pPr>
        <w:spacing w:after="0" w:line="317" w:lineRule="exact"/>
        <w:rPr>
          <w:rFonts w:ascii="Times New Roman" w:cs="Times New Roman" w:eastAsia="Times New Roman" w:hAnsi="Times New Roman"/>
          <w:sz w:val="17"/>
          <w:szCs w:val="17"/>
          <w:color w:val="auto"/>
        </w:rPr>
      </w:pPr>
    </w:p>
    <w:p>
      <w:pPr>
        <w:ind w:left="964" w:right="40" w:hanging="532"/>
        <w:spacing w:after="0" w:line="261" w:lineRule="auto"/>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Company is not on the Trade Date engaged in a distribution, as such term is used in Regulation M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8"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outstanding that, if repurchased, would cause Dealer’s current position in the Warrants (including the number of</w:t>
      </w:r>
    </w:p>
    <w:p>
      <w:pPr>
        <w:spacing w:after="0" w:line="2" w:lineRule="exact"/>
        <w:rPr>
          <w:sz w:val="20"/>
          <w:szCs w:val="20"/>
          <w:color w:val="auto"/>
        </w:rPr>
      </w:pPr>
    </w:p>
    <w:p>
      <w:pPr>
        <w:ind w:left="424" w:right="300"/>
        <w:spacing w:after="0" w:line="249" w:lineRule="auto"/>
        <w:rPr>
          <w:sz w:val="20"/>
          <w:szCs w:val="20"/>
          <w:color w:val="auto"/>
        </w:rPr>
      </w:pPr>
      <w:r>
        <w:rPr>
          <w:rFonts w:ascii="Times New Roman" w:cs="Times New Roman" w:eastAsia="Times New Roman" w:hAnsi="Times New Roman"/>
          <w:sz w:val="18"/>
          <w:szCs w:val="18"/>
          <w:color w:val="auto"/>
        </w:rPr>
        <w:t>Warrants if the greenshoe is exercised in full, any warrants under concurrent warrant transactions, and any warrants under pre-existing warrant transactions with Company) to increase by 0.5%, based on Dealer with highest Applicable Percentage.</w:t>
      </w:r>
    </w:p>
    <w:p>
      <w:pPr>
        <w:spacing w:after="0" w:line="1" w:lineRule="exact"/>
        <w:rPr>
          <w:sz w:val="20"/>
          <w:szCs w:val="20"/>
          <w:color w:val="auto"/>
        </w:rPr>
      </w:pPr>
    </w:p>
    <w:p>
      <w:pPr>
        <w:ind w:left="424" w:right="140" w:hanging="424"/>
        <w:spacing w:after="0" w:line="214" w:lineRule="auto"/>
        <w:tabs>
          <w:tab w:leader="none" w:pos="424" w:val="left"/>
        </w:tabs>
        <w:numPr>
          <w:ilvl w:val="0"/>
          <w:numId w:val="2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that, if repurchased, would cause Dealer’s current position in the Warrants (including the number of Warrants if the greenshoe is exercised in full, any warrants under concurrent warrant transactions, and any warrants under pre-existing warrant transactions with Company) to increase by a further 0.5% from the threshold for the first Repurchase Notice, based on Dealer with highest Applicable Percentage.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8" w:right="459" w:bottom="1440" w:gutter="0" w:footer="0" w:header="0"/>
        </w:sectPr>
      </w:pPr>
    </w:p>
    <w:bookmarkStart w:id="271" w:name="page272"/>
    <w:bookmarkEnd w:id="271"/>
    <w:p>
      <w:pPr>
        <w:ind w:left="540" w:right="180" w:hanging="532"/>
        <w:spacing w:after="0" w:line="267"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Manipulation</w:t>
      </w:r>
      <w:r>
        <w:rPr>
          <w:rFonts w:ascii="Times New Roman" w:cs="Times New Roman" w:eastAsia="Times New Roman" w:hAnsi="Times New Roman"/>
          <w:sz w:val="18"/>
          <w:szCs w:val="18"/>
          <w:color w:val="auto"/>
        </w:rPr>
        <w:t>. Company is not entering into the Transaction to create actual or apparent trading activity in the Shares (or any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78" w:lineRule="exact"/>
        <w:rPr>
          <w:rFonts w:ascii="Times New Roman" w:cs="Times New Roman" w:eastAsia="Times New Roman" w:hAnsi="Times New Roman"/>
          <w:sz w:val="18"/>
          <w:szCs w:val="18"/>
          <w:color w:val="auto"/>
        </w:rPr>
      </w:pPr>
    </w:p>
    <w:p>
      <w:pPr>
        <w:ind w:left="540" w:right="120" w:hanging="532"/>
        <w:spacing w:after="0" w:line="270" w:lineRule="auto"/>
        <w:tabs>
          <w:tab w:leader="none" w:pos="54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Transfer or Assignment</w:t>
      </w:r>
      <w:r>
        <w:rPr>
          <w:rFonts w:ascii="Times New Roman" w:cs="Times New Roman" w:eastAsia="Times New Roman" w:hAnsi="Times New Roman"/>
          <w:sz w:val="17"/>
          <w:szCs w:val="17"/>
          <w:color w:val="auto"/>
        </w:rPr>
        <w:t>. Company may not transfer any of its rights or obligations under the Transaction without the prior written consent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Dealer. Dealer may, without Company’s consent, transfer or assign all or any part of its rights or obligations under the Transaction to any third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an Event of Default, Potential Event of Default or Termination Event will not occur as a result of such transfer and assignment, and (y) Dealer shall be responsible for all reasonable costs and expenses, including reasonable counsel fees, incurred by Company in connection with such transfer or assignment. If at any time at which (A) the Section 16 Percentage exceeds 8%,</w:t>
      </w: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Warrant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xml:space="preserve">”),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9(k) shall apply to any amount that is payable by Company to Dealer pursuant to this sentence as if Company were not the Affected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calculating any amount due following such designation, Dealer shall act in good faith and a commercially reasonable manner and upon written request from Company, Dealer will promptly provide to Company a statement displaying in reasonable detail the basis for such calculation (it being understood that Dealer shall not be required to disclose any proprietary models or information or confidential models or information used by it in connection with such calculation).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Warrant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Warrants and the Warrant Entitlement and (2) the aggregate number of Shares underlying any other warrants purchased by Dealer from Company,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Company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means a number of Shares equal to (A) the minimum number of Shares that could give rise to reporting or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14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60" w:top="268" w:right="459" w:bottom="1440" w:gutter="0" w:footer="0" w:header="0"/>
        </w:sectPr>
      </w:pPr>
    </w:p>
    <w:bookmarkStart w:id="272" w:name="page273"/>
    <w:bookmarkEnd w:id="272"/>
    <w:p>
      <w:pPr>
        <w:ind w:left="540" w:right="20" w:hanging="532"/>
        <w:spacing w:after="0" w:line="261" w:lineRule="auto"/>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w:t>
      </w:r>
      <w:r>
        <w:rPr>
          <w:rFonts w:ascii="Times New Roman" w:cs="Times New Roman" w:eastAsia="Times New Roman" w:hAnsi="Times New Roman"/>
          <w:sz w:val="18"/>
          <w:szCs w:val="18"/>
          <w:color w:val="auto"/>
        </w:rPr>
        <w:t>. If at any time during the period from and including the Effective Date, to and including the last Expiration Date, an ex-dividend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a cash dividend or distribution (whether or not extraordinary) occurs with respect to the Shares, then the Calculation Agent will adjust any of the Strike Price, Number of Warrants and/or Daily Number of Warrants to preserve the fair value of the Warrants to Dealer after taking into account such dividend.</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Dealer agency language, if 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Adjustments</w:t>
      </w:r>
      <w:r>
        <w:rPr>
          <w:rFonts w:ascii="Times New Roman" w:cs="Times New Roman" w:eastAsia="Times New Roman" w:hAnsi="Times New Roman"/>
          <w:sz w:val="18"/>
          <w:szCs w:val="18"/>
          <w:color w:val="auto"/>
        </w:rPr>
        <w:t>. For the avoidance of doubt, whenever the Calculation Agent is called upon to make an adjustment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Confirmation or the Equity Definitions to take into account the effect of an event, the Calculation Agent shall make such adjustment by reference to the effect of such event on the Hedging Party, assuming that the Hedging Party maintains a commercially reasonable hedge position.</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Provisions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Equity 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533"/>
        <w:spacing w:after="0" w:line="282" w:lineRule="auto"/>
        <w:tabs>
          <w:tab w:leader="none" w:pos="154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deleting the words “a diluting or concentrative” and replacing them with the word “an”; and adding the phrase “or Warrants” at the end of the sentence.</w:t>
      </w:r>
    </w:p>
    <w:p>
      <w:pPr>
        <w:spacing w:after="0" w:line="67" w:lineRule="exact"/>
        <w:rPr>
          <w:rFonts w:ascii="Times New Roman" w:cs="Times New Roman" w:eastAsia="Times New Roman" w:hAnsi="Times New Roman"/>
          <w:sz w:val="18"/>
          <w:szCs w:val="18"/>
          <w:color w:val="auto"/>
        </w:rPr>
      </w:pPr>
    </w:p>
    <w:p>
      <w:pPr>
        <w:ind w:left="1540" w:right="100" w:hanging="533"/>
        <w:spacing w:after="0" w:line="276" w:lineRule="auto"/>
        <w:tabs>
          <w:tab w:leader="none" w:pos="1540" w:val="left"/>
        </w:tabs>
        <w:numPr>
          <w:ilvl w:val="2"/>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11.2(c) of the Equity Definitions is hereby amended by (w) replacing the words “a diluting or concentrative” with “an” in the fifth line thereof, (x) adding the phrase “or Warrants” after the words “the relevant Shares” in the same sentence,</w:t>
      </w:r>
    </w:p>
    <w:p>
      <w:pPr>
        <w:ind w:left="1540" w:right="60" w:firstLine="7"/>
        <w:spacing w:after="0" w:line="253" w:lineRule="auto"/>
        <w:tabs>
          <w:tab w:leader="none" w:pos="1795" w:val="left"/>
        </w:tabs>
        <w:numPr>
          <w:ilvl w:val="3"/>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4" w:lineRule="exact"/>
        <w:rPr>
          <w:rFonts w:ascii="Times New Roman" w:cs="Times New Roman" w:eastAsia="Times New Roman" w:hAnsi="Times New Roman"/>
          <w:sz w:val="18"/>
          <w:szCs w:val="18"/>
          <w:color w:val="auto"/>
        </w:rPr>
      </w:pPr>
    </w:p>
    <w:p>
      <w:pPr>
        <w:ind w:left="1540" w:right="240" w:hanging="533"/>
        <w:spacing w:after="0" w:line="266" w:lineRule="auto"/>
        <w:tabs>
          <w:tab w:leader="none" w:pos="154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(x) replacing the words “other event” with the words “action by the Issuer” and (y) deleting the words “diluting or concentrative” and replacing them with the word “material”; and adding the phrase “or Warrants” at the end of the sentence.</w:t>
      </w:r>
    </w:p>
    <w:p>
      <w:pPr>
        <w:spacing w:after="0" w:line="81"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12.9(b)(iv) of the Equity Definitions is hereby amended by:</w:t>
      </w:r>
    </w:p>
    <w:p>
      <w:pPr>
        <w:spacing w:after="0" w:line="130" w:lineRule="exact"/>
        <w:rPr>
          <w:rFonts w:ascii="Times New Roman" w:cs="Times New Roman" w:eastAsia="Times New Roman" w:hAnsi="Times New Roman"/>
          <w:sz w:val="18"/>
          <w:szCs w:val="18"/>
          <w:color w:val="auto"/>
        </w:rPr>
      </w:pPr>
    </w:p>
    <w:p>
      <w:pPr>
        <w:ind w:left="1980" w:right="140" w:hanging="433"/>
        <w:spacing w:after="0" w:line="282" w:lineRule="auto"/>
        <w:tabs>
          <w:tab w:leader="none" w:pos="1980" w:val="left"/>
        </w:tabs>
        <w:numPr>
          <w:ilvl w:val="3"/>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(1) subsection (A) in its entirety, (2) the phrase “or (B)” following subsection (A) and (3) the phrase “in each case” in subsection (B); and</w:t>
      </w:r>
    </w:p>
    <w:p>
      <w:pPr>
        <w:spacing w:after="0" w:line="67" w:lineRule="exact"/>
        <w:rPr>
          <w:rFonts w:ascii="Times New Roman" w:cs="Times New Roman" w:eastAsia="Times New Roman" w:hAnsi="Times New Roman"/>
          <w:sz w:val="18"/>
          <w:szCs w:val="18"/>
          <w:color w:val="auto"/>
        </w:rPr>
      </w:pPr>
    </w:p>
    <w:p>
      <w:pPr>
        <w:ind w:left="1980" w:right="560" w:hanging="433"/>
        <w:spacing w:after="0" w:line="282" w:lineRule="auto"/>
        <w:tabs>
          <w:tab w:leader="none" w:pos="1980" w:val="left"/>
        </w:tabs>
        <w:numPr>
          <w:ilvl w:val="3"/>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phrase “neither the Non-Hedging Party nor the Lending Party lends Shares” with the phrase “such Lending Party does not lend Shares” in the penultimate sentence.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60" w:top="268" w:right="459" w:bottom="1440" w:gutter="0" w:footer="0" w:header="0"/>
        </w:sectPr>
      </w:pPr>
    </w:p>
    <w:bookmarkStart w:id="273" w:name="page274"/>
    <w:bookmarkEnd w:id="273"/>
    <w:p>
      <w:pPr>
        <w:ind w:left="979" w:hanging="533"/>
        <w:spacing w:after="0"/>
        <w:tabs>
          <w:tab w:leader="none" w:pos="97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12.9(b)(v) of the Equity Definitions is hereby amended by:</w:t>
      </w:r>
    </w:p>
    <w:p>
      <w:pPr>
        <w:spacing w:after="0" w:line="130" w:lineRule="exact"/>
        <w:rPr>
          <w:rFonts w:ascii="Times New Roman" w:cs="Times New Roman" w:eastAsia="Times New Roman" w:hAnsi="Times New Roman"/>
          <w:sz w:val="18"/>
          <w:szCs w:val="18"/>
          <w:color w:val="auto"/>
        </w:rPr>
      </w:pPr>
    </w:p>
    <w:p>
      <w:pPr>
        <w:ind w:left="1419" w:hanging="433"/>
        <w:spacing w:after="0"/>
        <w:tabs>
          <w:tab w:leader="none" w:pos="141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word “or” immediately before subsection “(B)” and deleting the comma at the end of subsection (A); and</w:t>
      </w:r>
    </w:p>
    <w:p>
      <w:pPr>
        <w:spacing w:after="0" w:line="130" w:lineRule="exact"/>
        <w:rPr>
          <w:rFonts w:ascii="Times New Roman" w:cs="Times New Roman" w:eastAsia="Times New Roman" w:hAnsi="Times New Roman"/>
          <w:sz w:val="18"/>
          <w:szCs w:val="18"/>
          <w:color w:val="auto"/>
        </w:rPr>
      </w:pPr>
    </w:p>
    <w:p>
      <w:pPr>
        <w:ind w:left="1419" w:right="340" w:hanging="433"/>
        <w:spacing w:after="0" w:line="266" w:lineRule="auto"/>
        <w:tabs>
          <w:tab w:leader="none" w:pos="141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deleting subsection (C) in its entirety, (2) deleting the word “or” immediately preceding subsection (C), (3) replacing the words “either party” with the words “the Hedging Party” in the penultimate sentence and (4) deleting clause (X) in the final sentence.</w:t>
      </w:r>
    </w:p>
    <w:p>
      <w:pPr>
        <w:spacing w:after="0" w:line="81" w:lineRule="exact"/>
        <w:rPr>
          <w:rFonts w:ascii="Times New Roman" w:cs="Times New Roman" w:eastAsia="Times New Roman" w:hAnsi="Times New Roman"/>
          <w:sz w:val="18"/>
          <w:szCs w:val="18"/>
          <w:color w:val="auto"/>
        </w:rPr>
      </w:pPr>
    </w:p>
    <w:p>
      <w:pPr>
        <w:ind w:left="439" w:hanging="439"/>
        <w:spacing w:after="0" w:line="253" w:lineRule="auto"/>
        <w:tabs>
          <w:tab w:leader="none" w:pos="43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Additional Termination Event, Dealer may choose to treat part of the Transaction as the sole Affected Transaction, in which case the remainder of the Transaction shall continue in full force and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Dealer so designates an Early Termination Date with respect to a portion of the Transaction, (a) a payment shall be made pursuant to Section 6 of the Agreement as if an Early Termination Date had been designated in respect of a Transaction having terms identical to the Transaction and a Number of Warrants equal to the number of Warrants included in the terminated portion of the Transaction, and (b) for the avoidance of doubt, the Transaction shall remain in full force and effect except that the Number of Warrants shall be reduced by the number of Warrants included in such terminated portion:</w:t>
      </w:r>
    </w:p>
    <w:p>
      <w:pPr>
        <w:spacing w:after="0" w:line="97" w:lineRule="exact"/>
        <w:rPr>
          <w:rFonts w:ascii="Times New Roman" w:cs="Times New Roman" w:eastAsia="Times New Roman" w:hAnsi="Times New Roman"/>
          <w:sz w:val="18"/>
          <w:szCs w:val="18"/>
          <w:color w:val="auto"/>
        </w:rPr>
      </w:pPr>
    </w:p>
    <w:p>
      <w:pPr>
        <w:ind w:left="979" w:hanging="533"/>
        <w:spacing w:after="0" w:line="258" w:lineRule="auto"/>
        <w:tabs>
          <w:tab w:leader="none" w:pos="97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Exchange Act, other than Company, its wholly owned subsidiaries and its and their employee benefit plans, files a Schedule TO or any schedule, form or report under the Exchange Act disclosing that such person or group has become the direct or indirect “beneficial owner,” as defined in Rule 13d-3 under the Exchange Act, of the common equity of Company representing more than 50% of the voting power of such common equity.</w:t>
      </w:r>
    </w:p>
    <w:p>
      <w:pPr>
        <w:spacing w:after="0" w:line="88" w:lineRule="exact"/>
        <w:rPr>
          <w:rFonts w:ascii="Times New Roman" w:cs="Times New Roman" w:eastAsia="Times New Roman" w:hAnsi="Times New Roman"/>
          <w:sz w:val="18"/>
          <w:szCs w:val="18"/>
          <w:color w:val="auto"/>
        </w:rPr>
      </w:pPr>
    </w:p>
    <w:p>
      <w:pPr>
        <w:ind w:left="979" w:right="40" w:hanging="533"/>
        <w:spacing w:after="0" w:line="252" w:lineRule="auto"/>
        <w:tabs>
          <w:tab w:leader="none" w:pos="97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or merger of Company pursuant to which the Shares will be converted into cash, securities or other property or assets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merger or consolidation of Company solely for the purpose of changing its jurisdiction of incorporation that results in a reclassification, conversion or exchange of outstanding Shares solely into shares of common stock of the surviving entity shall not constitute an Additional Termination Event pursuant to this clause (B). Notwithstanding the foregoing, any transaction or transactions set forth in this clause (B) shall not constitute an Additional Termination Event if (x) at least 90% of the consideration received or to be received by holders of the Shares, excluding cash payments for fractional Shares, in connection with such transaction or transactions consists of shares of common stock that are listed or quoted on any of The New York Stock Exchange, The Nasdaq Global Select Market or The Nasdaq Global Market (or any of their respective successors) or that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127"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1421" w:top="270" w:right="459" w:bottom="1440" w:gutter="0" w:footer="0" w:header="0"/>
        </w:sectPr>
      </w:pPr>
    </w:p>
    <w:bookmarkStart w:id="274" w:name="page275"/>
    <w:bookmarkEnd w:id="274"/>
    <w:p>
      <w:pPr>
        <w:ind w:left="1540" w:hanging="533"/>
        <w:spacing w:after="0"/>
        <w:tabs>
          <w:tab w:leader="none" w:pos="1540" w:val="left"/>
        </w:tabs>
        <w:numPr>
          <w:ilvl w:val="3"/>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stockholders approve any plan or proposal for the liquidation or dissolution of Company.</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82" w:lineRule="auto"/>
        <w:tabs>
          <w:tab w:leader="none" w:pos="1540" w:val="left"/>
        </w:tabs>
        <w:numPr>
          <w:ilvl w:val="3"/>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cease to be listed or quoted on any of The New York Stock Exchange, The Nasdaq Global Select Market or The Nasdaq Global Market (or any of their respective successors).</w:t>
      </w:r>
    </w:p>
    <w:p>
      <w:pPr>
        <w:spacing w:after="0" w:line="67" w:lineRule="exact"/>
        <w:rPr>
          <w:rFonts w:ascii="Times New Roman" w:cs="Times New Roman" w:eastAsia="Times New Roman" w:hAnsi="Times New Roman"/>
          <w:sz w:val="18"/>
          <w:szCs w:val="18"/>
          <w:color w:val="auto"/>
        </w:rPr>
      </w:pPr>
    </w:p>
    <w:p>
      <w:pPr>
        <w:ind w:left="1540" w:right="120" w:hanging="533"/>
        <w:spacing w:after="0" w:line="281" w:lineRule="auto"/>
        <w:tabs>
          <w:tab w:leader="none" w:pos="1540" w:val="left"/>
        </w:tabs>
        <w:numPr>
          <w:ilvl w:val="3"/>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despite using commercially reasonable efforts, is unable or reasonably determines based on advice of counsel that it is impractical or illegal, to hedge its exposure with respect to the Transaction in the public market without registration under the Securities Act or as a result of any legal, regulatory or self-regulatory requirements or related policies and procedures (whether or not such requirements, policies or procedures are imposed by law or have been voluntarily adopted by Dealer).</w:t>
      </w:r>
    </w:p>
    <w:p>
      <w:pPr>
        <w:spacing w:after="0" w:line="69" w:lineRule="exact"/>
        <w:rPr>
          <w:rFonts w:ascii="Times New Roman" w:cs="Times New Roman" w:eastAsia="Times New Roman" w:hAnsi="Times New Roman"/>
          <w:sz w:val="17"/>
          <w:szCs w:val="17"/>
          <w:color w:val="auto"/>
        </w:rPr>
      </w:pPr>
    </w:p>
    <w:p>
      <w:pPr>
        <w:ind w:left="1540" w:hanging="533"/>
        <w:spacing w:after="0" w:line="254" w:lineRule="auto"/>
        <w:tabs>
          <w:tab w:leader="none" w:pos="1540" w:val="left"/>
        </w:tabs>
        <w:numPr>
          <w:ilvl w:val="3"/>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Company or any of its subsidiaries with respect to any mortgage, agreement or other instrument under which there may be outstanding, or by which there may be secured or evidenced, any indebtedness for money borrowed in excess of USD 300 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if such default is not cured or waived, or such acceleration is not rescinded within 30 days after notice thereof is received by Company in accordance with the indenture governing any equity-linked indebtedness of Company.</w:t>
      </w:r>
    </w:p>
    <w:p>
      <w:pPr>
        <w:spacing w:after="0" w:line="97" w:lineRule="exact"/>
        <w:rPr>
          <w:rFonts w:ascii="Times New Roman" w:cs="Times New Roman" w:eastAsia="Times New Roman" w:hAnsi="Times New Roman"/>
          <w:sz w:val="18"/>
          <w:szCs w:val="18"/>
          <w:color w:val="auto"/>
        </w:rPr>
      </w:pPr>
    </w:p>
    <w:p>
      <w:pPr>
        <w:ind w:left="1540" w:right="120" w:hanging="533"/>
        <w:spacing w:after="0" w:line="261" w:lineRule="auto"/>
        <w:tabs>
          <w:tab w:leader="none" w:pos="1540" w:val="left"/>
        </w:tabs>
        <w:numPr>
          <w:ilvl w:val="3"/>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USD 300 million (or its foreign currency equivalent) or more (excluding any amounts covered by insurance) in the aggregate rendered against Company or any of its subsidiaries, which judgment is not discharged, satisfied, paid, waived or stayed within 60 days after (I) the date on which the right to appeal thereof has expired if no such appeal has commenced, or (II) the date on which all rights to appeal have been extinguished.</w:t>
      </w:r>
    </w:p>
    <w:p>
      <w:pPr>
        <w:spacing w:after="0" w:line="83"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Setoff; No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provision of the Agreement or any other agreement between the parties to the contrary,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Company hereunder are not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40" w:hanging="439"/>
        <w:spacing w:after="0" w:line="268" w:lineRule="auto"/>
        <w:tabs>
          <w:tab w:leader="none" w:pos="100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respect of the Transaction, an amount is payable by Company to Dealer, (A) pursuant to Section 12.7 or Section 12.9 of the Equity Definitions or (B) pursuant to Section 6(d)(ii) and 6(e) of the Agreement (any such amount, a “</w:t>
      </w:r>
      <w:r>
        <w:rPr>
          <w:rFonts w:ascii="Times New Roman" w:cs="Times New Roman" w:eastAsia="Times New Roman" w:hAnsi="Times New Roman"/>
          <w:sz w:val="17"/>
          <w:szCs w:val="17"/>
          <w:b w:val="1"/>
          <w:bCs w:val="1"/>
          <w:color w:val="auto"/>
        </w:rPr>
        <w:t>Payment Obligation</w:t>
      </w:r>
      <w:r>
        <w:rPr>
          <w:rFonts w:ascii="Times New Roman" w:cs="Times New Roman" w:eastAsia="Times New Roman" w:hAnsi="Times New Roman"/>
          <w:sz w:val="17"/>
          <w:szCs w:val="17"/>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w:t>
      </w:r>
    </w:p>
    <w:p>
      <w:pPr>
        <w:spacing w:after="0" w:line="4" w:lineRule="exact"/>
        <w:rPr>
          <w:rFonts w:ascii="Times New Roman" w:cs="Times New Roman" w:eastAsia="Times New Roman" w:hAnsi="Times New Roman"/>
          <w:sz w:val="17"/>
          <w:szCs w:val="17"/>
          <w:color w:val="auto"/>
        </w:rPr>
      </w:pPr>
    </w:p>
    <w:p>
      <w:pPr>
        <w:ind w:left="1240" w:hanging="247"/>
        <w:spacing w:after="0"/>
        <w:tabs>
          <w:tab w:leader="none" w:pos="124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remakes the representation set forth in Section 8(g) as of the date of such election and (c) Dealer agrees, in its sole</w:t>
      </w:r>
    </w:p>
    <w:p>
      <w:pPr>
        <w:spacing w:after="0" w:line="9" w:lineRule="exact"/>
        <w:rPr>
          <w:rFonts w:ascii="Times New Roman" w:cs="Times New Roman" w:eastAsia="Times New Roman" w:hAnsi="Times New Roman"/>
          <w:sz w:val="18"/>
          <w:szCs w:val="18"/>
          <w:color w:val="auto"/>
        </w:rPr>
      </w:pPr>
    </w:p>
    <w:p>
      <w:pPr>
        <w:ind w:left="100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to such election, in which case the provisions of Section 12.7 or Section 12.9 of the Equity Definitions, or the provisions of Section 6(d)(ii) and 6(e) of the Agreement, as the case may be, shall apply.</w:t>
      </w:r>
    </w:p>
    <w:p>
      <w:pPr>
        <w:spacing w:after="0" w:line="1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00"/>
          </w:cols>
          <w:pgMar w:left="860" w:top="270" w:right="439" w:bottom="1440" w:gutter="0" w:footer="0" w:header="0"/>
        </w:sectPr>
      </w:pPr>
    </w:p>
    <w:bookmarkStart w:id="275" w:name="page276"/>
    <w:bookmarkEnd w:id="275"/>
    <w:p>
      <w:pPr>
        <w:ind w:left="440"/>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If applicable, Company shall deliver to Dealer the Share Termination Delivery Property on the date (the “</w:t>
      </w:r>
      <w:r>
        <w:rPr>
          <w:rFonts w:ascii="Times New Roman" w:cs="Times New Roman" w:eastAsia="Times New Roman" w:hAnsi="Times New Roman"/>
          <w:sz w:val="18"/>
          <w:szCs w:val="18"/>
          <w:b w:val="1"/>
          <w:bCs w:val="1"/>
          <w:color w:val="auto"/>
        </w:rPr>
        <w:t>Share Termination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on which the Payment Obligation would otherwise be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“Consequences of Merger Events / Tender Offers” under Section 3 above or Section 12.6, Section 12.7 or Section 12.9 of the Equity Definitions or Section 6(d)(ii) of the Agreement, as applicable, subject to Section 9(l)(i) below, in satisfaction, subject to Section 9(l)(ii) below, of the relevant Payment Obligation, in the manner reasonably requested by Dealer free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-1402715</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020" w:space="720"/>
            <w:col w:w="5260"/>
          </w:cols>
          <w:pgMar w:left="1440" w:top="378"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 xml:space="preserve">A number of Share Termination Delivery Units, as calculated by the Calculation Agent, equal to the relevant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9(l)(i)).</w:t>
      </w:r>
    </w:p>
    <w:p>
      <w:pPr>
        <w:spacing w:after="0" w:line="84" w:lineRule="exact"/>
        <w:rPr>
          <w:sz w:val="20"/>
          <w:szCs w:val="20"/>
          <w:color w:val="auto"/>
        </w:rPr>
      </w:pPr>
    </w:p>
    <w:p>
      <w:pPr>
        <w:sectPr>
          <w:pgSz w:w="11900" w:h="16838" w:orient="portrait"/>
          <w:cols w:equalWidth="0" w:num="2">
            <w:col w:w="4020" w:space="720"/>
            <w:col w:w="5260"/>
          </w:cols>
          <w:pgMar w:left="1440" w:top="378"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on the date such Share Termination Delivery Units are to be delivered as Share Termination Delivery Property, as determined by the Calculation Agent in its discretion by commercially reasonable means. In the case of a Private Placement of Share Termination Delivery Units that are Restricted Shares (as defined below), as set forth in Section 9(l)(i)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9(l)(ii)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9(l)(i).</w:t>
      </w:r>
    </w:p>
    <w:p>
      <w:pPr>
        <w:spacing w:after="0" w:line="123" w:lineRule="exact"/>
        <w:rPr>
          <w:sz w:val="20"/>
          <w:szCs w:val="20"/>
          <w:color w:val="auto"/>
        </w:rPr>
      </w:pPr>
    </w:p>
    <w:p>
      <w:pPr>
        <w:sectPr>
          <w:pgSz w:w="11900" w:h="16838" w:orient="portrait"/>
          <w:cols w:equalWidth="0" w:num="2">
            <w:col w:w="4020" w:space="720"/>
            <w:col w:w="5260"/>
          </w:cols>
          <w:pgMar w:left="1440" w:top="378" w:right="45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00"/>
          </w:cols>
          <w:pgMar w:left="1440" w:top="378" w:right="459" w:bottom="1440" w:gutter="0" w:footer="0" w:header="0"/>
          <w:type w:val="continuous"/>
        </w:sectPr>
      </w:pPr>
    </w:p>
    <w:bookmarkStart w:id="276" w:name="page277"/>
    <w:bookmarkEnd w:id="276"/>
    <w:p>
      <w:pPr>
        <w:ind w:left="1020"/>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Exchange Property received by a holder of one Share (without consideration of any requirement to pay cash or other consideration in lieu of fractional amounts of any securities) in such Nationalization, Insolvency or Merger Event. If such Nationalization, Insolvency or Merger Event involves a choice of Exchange Property to be received by holders, such holder shall be deemed to have elected to receive the maximum possible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-1674495</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4600" w:space="720"/>
            <w:col w:w="5260"/>
          </w:cols>
          <w:pgMar w:left="860" w:top="378" w:right="459" w:bottom="1440" w:gutter="0" w:footer="0" w:header="0"/>
        </w:sectPr>
      </w:pPr>
    </w:p>
    <w:p>
      <w:pPr>
        <w:ind w:left="102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Inapplicable</w:t>
      </w:r>
    </w:p>
    <w:p>
      <w:pPr>
        <w:spacing w:after="0" w:line="129" w:lineRule="exact"/>
        <w:rPr>
          <w:sz w:val="20"/>
          <w:szCs w:val="20"/>
          <w:color w:val="auto"/>
        </w:rPr>
      </w:pPr>
    </w:p>
    <w:p>
      <w:pPr>
        <w:sectPr>
          <w:pgSz w:w="11900" w:h="16838" w:orient="portrait"/>
          <w:cols w:equalWidth="0" w:num="2">
            <w:col w:w="4600" w:space="720"/>
            <w:col w:w="5260"/>
          </w:cols>
          <w:pgMar w:left="860" w:top="378" w:right="4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95" w:lineRule="exact"/>
        <w:rPr>
          <w:sz w:val="20"/>
          <w:szCs w:val="20"/>
          <w:color w:val="auto"/>
        </w:rPr>
      </w:pPr>
    </w:p>
    <w:p>
      <w:pPr>
        <w:sectPr>
          <w:pgSz w:w="11900" w:h="16838" w:orient="portrait"/>
          <w:cols w:equalWidth="0" w:num="2">
            <w:col w:w="4600" w:space="720"/>
            <w:col w:w="5260"/>
          </w:cols>
          <w:pgMar w:left="860" w:top="378" w:right="459" w:bottom="1440" w:gutter="0" w:footer="0" w:header="0"/>
          <w:type w:val="continuous"/>
        </w:sectPr>
      </w:pPr>
    </w:p>
    <w:p>
      <w:pPr>
        <w:ind w:left="540" w:hanging="532"/>
        <w:spacing w:after="0" w:line="252" w:lineRule="auto"/>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Registration/Private Placement Procedures</w:t>
      </w:r>
      <w:r>
        <w:rPr>
          <w:rFonts w:ascii="Times New Roman" w:cs="Times New Roman" w:eastAsia="Times New Roman" w:hAnsi="Times New Roman"/>
          <w:sz w:val="18"/>
          <w:szCs w:val="18"/>
          <w:color w:val="auto"/>
        </w:rPr>
        <w:t>. If, in the reasonable determination of Dealer, based on the advice of counsel, following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 (c) of Rule 145 under the Securities Act) (such Shares or Share Termination Delivery Property,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reasonable adjustments to settlement terms and provisions under this Confirmation to reflect a single Private Placement or Registration Settlement for such aggregate Restricted Shares delivered hereunder.</w:t>
      </w:r>
    </w:p>
    <w:p>
      <w:pPr>
        <w:spacing w:after="0" w:line="1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860" w:top="378" w:right="459" w:bottom="1440" w:gutter="0" w:footer="0" w:header="0"/>
          <w:type w:val="continuous"/>
        </w:sectPr>
      </w:pPr>
    </w:p>
    <w:bookmarkStart w:id="277" w:name="page278"/>
    <w:bookmarkEnd w:id="277"/>
    <w:p>
      <w:pPr>
        <w:ind w:left="439" w:hanging="439"/>
        <w:spacing w:after="0" w:line="252" w:lineRule="auto"/>
        <w:tabs>
          <w:tab w:leader="none" w:pos="43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Company elects to settle the Transaction pursuant to this clause (i) (a “</w:t>
      </w:r>
      <w:r>
        <w:rPr>
          <w:rFonts w:ascii="Times New Roman" w:cs="Times New Roman" w:eastAsia="Times New Roman" w:hAnsi="Times New Roman"/>
          <w:sz w:val="18"/>
          <w:szCs w:val="18"/>
          <w:b w:val="1"/>
          <w:bCs w:val="1"/>
          <w:color w:val="auto"/>
        </w:rPr>
        <w:t>Private Placement Settlement</w:t>
      </w:r>
      <w:r>
        <w:rPr>
          <w:rFonts w:ascii="Times New Roman" w:cs="Times New Roman" w:eastAsia="Times New Roman" w:hAnsi="Times New Roman"/>
          <w:sz w:val="18"/>
          <w:szCs w:val="18"/>
          <w:color w:val="auto"/>
        </w:rPr>
        <w:t xml:space="preserve">”), then delivery of Restricted Shares by Company shall be effected in customary private placement procedures with respect to such Restricted Shares reasonably acceptable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all reasonably acceptable to Dealer. In the case of a Private Placement Settlement, Dealer shall determine the appropriate discount to the Share Termination Unit Price (in the case of settlement of Share Termination Delivery Units pursuant to Section 9(k) above) or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9(k) above) or on the Settlement Date for such Restricted Shares (in the case of settlement in Shares pursuant to Section 2 above).</w:t>
      </w:r>
    </w:p>
    <w:p>
      <w:pPr>
        <w:spacing w:after="0" w:line="96" w:lineRule="exact"/>
        <w:rPr>
          <w:rFonts w:ascii="Times New Roman" w:cs="Times New Roman" w:eastAsia="Times New Roman" w:hAnsi="Times New Roman"/>
          <w:sz w:val="18"/>
          <w:szCs w:val="18"/>
          <w:color w:val="auto"/>
        </w:rPr>
      </w:pPr>
    </w:p>
    <w:p>
      <w:pPr>
        <w:ind w:left="439" w:hanging="439"/>
        <w:spacing w:after="0" w:line="267" w:lineRule="auto"/>
        <w:tabs>
          <w:tab w:leader="none" w:pos="439"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Company elects to settle the Transaction pursuant to this clause (ii) (a “</w:t>
      </w:r>
      <w:r>
        <w:rPr>
          <w:rFonts w:ascii="Times New Roman" w:cs="Times New Roman" w:eastAsia="Times New Roman" w:hAnsi="Times New Roman"/>
          <w:sz w:val="17"/>
          <w:szCs w:val="17"/>
          <w:b w:val="1"/>
          <w:bCs w:val="1"/>
          <w:color w:val="auto"/>
        </w:rPr>
        <w:t>Registration Settlement</w:t>
      </w:r>
      <w:r>
        <w:rPr>
          <w:rFonts w:ascii="Times New Roman" w:cs="Times New Roman" w:eastAsia="Times New Roman" w:hAnsi="Times New Roman"/>
          <w:sz w:val="17"/>
          <w:szCs w:val="17"/>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Times New Roman" w:cs="Times New Roman" w:eastAsia="Times New Roman" w:hAnsi="Times New Roman"/>
          <w:sz w:val="17"/>
          <w:szCs w:val="17"/>
          <w:b w:val="1"/>
          <w:bCs w:val="1"/>
          <w:color w:val="auto"/>
        </w:rPr>
        <w:t>Resale Period</w:t>
      </w:r>
      <w:r>
        <w:rPr>
          <w:rFonts w:ascii="Times New Roman" w:cs="Times New Roman" w:eastAsia="Times New Roman" w:hAnsi="Times New Roman"/>
          <w:sz w:val="17"/>
          <w:szCs w:val="17"/>
          <w:color w:val="auto"/>
        </w:rPr>
        <w:t>”) commencing on the Exchange Business Day following delivery of such Restricted Shares (which, for the avoidance of doubt, shall be (x) the Share Termination Payment Date in case of settlement in Share Termination Delivery Units pursuant to Section 9(k)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Business Day immediately following the last day of the Resale Period the amount of such excess (the “</w:t>
      </w:r>
      <w:r>
        <w:rPr>
          <w:rFonts w:ascii="Times New Roman" w:cs="Times New Roman" w:eastAsia="Times New Roman" w:hAnsi="Times New Roman"/>
          <w:sz w:val="17"/>
          <w:szCs w:val="17"/>
          <w:b w:val="1"/>
          <w:bCs w:val="1"/>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in cash or in a number of Shares (“</w:t>
      </w:r>
      <w:r>
        <w:rPr>
          <w:rFonts w:ascii="Times New Roman" w:cs="Times New Roman" w:eastAsia="Times New Roman" w:hAnsi="Times New Roman"/>
          <w:sz w:val="17"/>
          <w:szCs w:val="17"/>
          <w:b w:val="1"/>
          <w:bCs w:val="1"/>
          <w:color w:val="auto"/>
        </w:rPr>
        <w:t>Make-whole Shares</w:t>
      </w:r>
      <w:r>
        <w:rPr>
          <w:rFonts w:ascii="Times New Roman" w:cs="Times New Roman" w:eastAsia="Times New Roman" w:hAnsi="Times New Roman"/>
          <w:sz w:val="17"/>
          <w:szCs w:val="17"/>
          <w:color w:val="auto"/>
        </w:rPr>
        <w:t>”) in an amount that, based on the Settlement Price on the last day</w:t>
      </w:r>
    </w:p>
    <w:p>
      <w:pPr>
        <w:spacing w:after="0" w:line="339"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19"/>
          </w:cols>
          <w:pgMar w:left="1421" w:top="266" w:right="459" w:bottom="1440" w:gutter="0" w:footer="0" w:header="0"/>
        </w:sectPr>
      </w:pPr>
    </w:p>
    <w:bookmarkStart w:id="278" w:name="page279"/>
    <w:bookmarkEnd w:id="278"/>
    <w:p>
      <w:pPr>
        <w:ind w:left="14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89" w:lineRule="exact"/>
        <w:rPr>
          <w:sz w:val="20"/>
          <w:szCs w:val="20"/>
          <w:color w:val="auto"/>
        </w:rPr>
      </w:pPr>
    </w:p>
    <w:p>
      <w:pPr>
        <w:ind w:left="1424" w:right="20" w:hanging="439"/>
        <w:spacing w:after="0" w:line="266" w:lineRule="auto"/>
        <w:tabs>
          <w:tab w:leader="none" w:pos="1424"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79" w:lineRule="exact"/>
        <w:rPr>
          <w:rFonts w:ascii="Times New Roman" w:cs="Times New Roman" w:eastAsia="Times New Roman" w:hAnsi="Times New Roman"/>
          <w:sz w:val="18"/>
          <w:szCs w:val="18"/>
          <w:color w:val="auto"/>
        </w:rPr>
      </w:pPr>
    </w:p>
    <w:p>
      <w:pPr>
        <w:ind w:left="964" w:hanging="532"/>
        <w:spacing w:after="0" w:line="246" w:lineRule="auto"/>
        <w:tabs>
          <w:tab w:leader="none" w:pos="964"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Limit on Beneficial Ownership</w:t>
      </w:r>
      <w:r>
        <w:rPr>
          <w:rFonts w:ascii="Times New Roman" w:cs="Times New Roman" w:eastAsia="Times New Roman" w:hAnsi="Times New Roman"/>
          <w:sz w:val="17"/>
          <w:szCs w:val="17"/>
          <w:color w:val="auto"/>
        </w:rPr>
        <w:t>. Notwithstanding any other provisions hereof, Dealer may not exercise any Warrant hereunder or be entitled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to Dealer under the letter agreement dated May [__], 2026 between Dealer and Company regarding Base Warrants (the “</w:t>
      </w:r>
      <w:r>
        <w:rPr>
          <w:rFonts w:ascii="Times New Roman" w:cs="Times New Roman" w:eastAsia="Times New Roman" w:hAnsi="Times New Roman"/>
          <w:sz w:val="17"/>
          <w:szCs w:val="17"/>
          <w:b w:val="1"/>
          <w:bCs w:val="1"/>
          <w:color w:val="auto"/>
        </w:rPr>
        <w:t>Base Warrant Confirmation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(i) the Section 16 Percentage would exceed 8.5%, or (ii) the Share Amount would exceed the Applicable Share Limit. Any purported delivery hereunder shall be void and have no effect to the extent (but only to the extent) that, after such delivery [and after taking into account any Shares deliverable to Dealer under the Base Warrant Confirmation]</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7"/>
          <w:szCs w:val="17"/>
          <w:color w:val="auto"/>
        </w:rPr>
        <w:t>, (i) the Section 16 Percentage would exceed 8.5%, or (ii) the Share Amount would exceed the Applicable Share Limit. If any delivery owed to Dealer hereunder is not made, in whole or in part, as a result of this provision, Company’s obligation to make such delivery shall not be extinguished and Company shall make such delivery as promptly as practicable after, but in no event later than one Business Day after, Dealer gives notice to Company that, after such delivery, (i) the Section 16 Percentage would not exceed 8.5%, and</w:t>
      </w:r>
    </w:p>
    <w:p>
      <w:pPr>
        <w:spacing w:after="0" w:line="3" w:lineRule="exact"/>
        <w:rPr>
          <w:rFonts w:ascii="Times New Roman" w:cs="Times New Roman" w:eastAsia="Times New Roman" w:hAnsi="Times New Roman"/>
          <w:sz w:val="17"/>
          <w:szCs w:val="17"/>
          <w:color w:val="auto"/>
        </w:rPr>
      </w:pPr>
    </w:p>
    <w:p>
      <w:pPr>
        <w:ind w:left="1244" w:hanging="272"/>
        <w:spacing w:after="0"/>
        <w:tabs>
          <w:tab w:leader="none" w:pos="1244"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Applicable Share Limit.</w:t>
      </w:r>
    </w:p>
    <w:p>
      <w:pPr>
        <w:spacing w:after="0" w:line="110" w:lineRule="exact"/>
        <w:rPr>
          <w:rFonts w:ascii="Times New Roman" w:cs="Times New Roman" w:eastAsia="Times New Roman" w:hAnsi="Times New Roman"/>
          <w:sz w:val="18"/>
          <w:szCs w:val="18"/>
          <w:color w:val="auto"/>
        </w:rPr>
      </w:pPr>
    </w:p>
    <w:p>
      <w:pPr>
        <w:ind w:left="964" w:hanging="532"/>
        <w:spacing w:after="0" w:line="252" w:lineRule="auto"/>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 Deliveries</w:t>
      </w:r>
      <w:r>
        <w:rPr>
          <w:rFonts w:ascii="Times New Roman" w:cs="Times New Roman" w:eastAsia="Times New Roman" w:hAnsi="Times New Roman"/>
          <w:sz w:val="18"/>
          <w:szCs w:val="18"/>
          <w:color w:val="auto"/>
        </w:rPr>
        <w:t>. Company acknowledges and agrees that, to the extent the holder of this Warrant is not then an affiliate and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for 90 days (it being understood that Dealer will not be considered an 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424" w:hanging="424"/>
        <w:spacing w:after="0"/>
        <w:tabs>
          <w:tab w:leader="none" w:pos="424" w:val="left"/>
        </w:tabs>
        <w:numPr>
          <w:ilvl w:val="0"/>
          <w:numId w:val="2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Additional Warrant Confirmation only.</w:t>
      </w:r>
    </w:p>
    <w:p>
      <w:pPr>
        <w:ind w:left="424" w:hanging="424"/>
        <w:spacing w:after="0" w:line="180" w:lineRule="auto"/>
        <w:tabs>
          <w:tab w:leader="none" w:pos="424" w:val="left"/>
        </w:tabs>
        <w:numPr>
          <w:ilvl w:val="0"/>
          <w:numId w:val="2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in Additional Warrant Confirmation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79" w:name="page280"/>
    <w:bookmarkEnd w:id="279"/>
    <w:p>
      <w:pPr>
        <w:ind w:left="5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Company) has 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Notwithstanding anything to the contrary herein, Company agrees that any delivery of Shares, Share Termination Delivery Property or Restricted Shares shall be effected by book-entry transfer through the facilities of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or any successor depositary, if at the time of delivery, such class of Shares, class of Share Termination Delivery Property or class or Restricted Shares is in book-entry form at DTC or such successor depositary.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82" w:lineRule="exact"/>
        <w:rPr>
          <w:sz w:val="20"/>
          <w:szCs w:val="20"/>
          <w:color w:val="auto"/>
        </w:rPr>
      </w:pPr>
    </w:p>
    <w:p>
      <w:pPr>
        <w:ind w:left="540" w:right="80" w:hanging="532"/>
        <w:spacing w:after="0" w:line="256"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from the date of commencement of discussions concerning the Transaction, Company and each of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Maximum Share Delivery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hanging="439"/>
        <w:spacing w:after="0" w:line="258" w:lineRule="auto"/>
        <w:tabs>
          <w:tab w:leader="none" w:pos="10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Confirmation, the Agreement or the Equity Definitions, in no event will Company at any time be required to deliver a number of Shares greater than two times the Number of Shares (the “</w:t>
      </w:r>
      <w:r>
        <w:rPr>
          <w:rFonts w:ascii="Times New Roman" w:cs="Times New Roman" w:eastAsia="Times New Roman" w:hAnsi="Times New Roman"/>
          <w:sz w:val="18"/>
          <w:szCs w:val="18"/>
          <w:b w:val="1"/>
          <w:bCs w:val="1"/>
          <w:color w:val="auto"/>
        </w:rPr>
        <w:t>Maximum Number of Shares</w:t>
      </w:r>
      <w:r>
        <w:rPr>
          <w:rFonts w:ascii="Times New Roman" w:cs="Times New Roman" w:eastAsia="Times New Roman" w:hAnsi="Times New Roman"/>
          <w:sz w:val="18"/>
          <w:szCs w:val="18"/>
          <w:color w:val="auto"/>
        </w:rPr>
        <w:t>”)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88" w:lineRule="exact"/>
        <w:rPr>
          <w:rFonts w:ascii="Times New Roman" w:cs="Times New Roman" w:eastAsia="Times New Roman" w:hAnsi="Times New Roman"/>
          <w:sz w:val="18"/>
          <w:szCs w:val="18"/>
          <w:color w:val="auto"/>
        </w:rPr>
      </w:pPr>
    </w:p>
    <w:p>
      <w:pPr>
        <w:ind w:left="1000" w:right="100" w:hanging="439"/>
        <w:spacing w:after="0" w:line="268" w:lineRule="auto"/>
        <w:tabs>
          <w:tab w:leader="none" w:pos="1000"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Times New Roman" w:cs="Times New Roman" w:eastAsia="Times New Roman" w:hAnsi="Times New Roman"/>
          <w:sz w:val="17"/>
          <w:szCs w:val="17"/>
          <w:b w:val="1"/>
          <w:bCs w:val="1"/>
          <w:color w:val="auto"/>
        </w:rPr>
        <w:t>Deficit Shares</w:t>
      </w:r>
      <w:r>
        <w:rPr>
          <w:rFonts w:ascii="Times New Roman" w:cs="Times New Roman" w:eastAsia="Times New Roman" w:hAnsi="Times New Roman"/>
          <w:sz w:val="17"/>
          <w:szCs w:val="17"/>
          <w:color w:val="auto"/>
        </w:rPr>
        <w:t>”), Company shall be continually obligated to deliver, from time to time, Shares or Restricted Shares, as the case may be, to Dealer until the full number of Deficit Shares have been delivered pursuant to this Section 9(q)(ii), when, and to the extent that, (A) Shares are repurchased, acquired or otherwise received by Company or any of its subsidiaries after the Trade Date (whether or not in exchange for cash, fair value or any other consideration),</w:t>
      </w:r>
    </w:p>
    <w:p>
      <w:pPr>
        <w:spacing w:after="0" w:line="4" w:lineRule="exact"/>
        <w:rPr>
          <w:rFonts w:ascii="Times New Roman" w:cs="Times New Roman" w:eastAsia="Times New Roman" w:hAnsi="Times New Roman"/>
          <w:sz w:val="17"/>
          <w:szCs w:val="17"/>
          <w:color w:val="auto"/>
        </w:rPr>
      </w:pPr>
    </w:p>
    <w:p>
      <w:pPr>
        <w:ind w:left="1280" w:hanging="287"/>
        <w:spacing w:after="0"/>
        <w:tabs>
          <w:tab w:leader="none" w:pos="128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unissued Shares previously reserved for issuance in respect of other transactions become no longer so reserved or</w:t>
      </w:r>
    </w:p>
    <w:p>
      <w:pPr>
        <w:spacing w:after="0" w:line="9" w:lineRule="exact"/>
        <w:rPr>
          <w:rFonts w:ascii="Times New Roman" w:cs="Times New Roman" w:eastAsia="Times New Roman" w:hAnsi="Times New Roman"/>
          <w:sz w:val="18"/>
          <w:szCs w:val="18"/>
          <w:color w:val="auto"/>
        </w:rPr>
      </w:pPr>
    </w:p>
    <w:p>
      <w:pPr>
        <w:ind w:left="1280" w:hanging="287"/>
        <w:spacing w:after="0"/>
        <w:tabs>
          <w:tab w:leader="none" w:pos="128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additionally authorizes any unissued Shares that are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860" w:top="270" w:right="459" w:bottom="1440" w:gutter="0" w:footer="0" w:header="0"/>
        </w:sectPr>
      </w:pPr>
    </w:p>
    <w:bookmarkStart w:id="280" w:name="page281"/>
    <w:bookmarkEnd w:id="280"/>
    <w:p>
      <w:pPr>
        <w:ind w:left="1000" w:right="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reserved for other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Company deliver any Shares or Restricted Shares to Dealer pursuant to this Section 9(q)(ii)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8" w:lineRule="exact"/>
        <w:rPr>
          <w:sz w:val="20"/>
          <w:szCs w:val="20"/>
          <w:color w:val="auto"/>
        </w:rPr>
      </w:pPr>
    </w:p>
    <w:p>
      <w:pPr>
        <w:ind w:left="540" w:right="200" w:hanging="532"/>
        <w:spacing w:after="0" w:line="253"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may postpone or add, in whole or in part, any Expiration Date or any other date of valuation or delivery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some or all of the relevant Warrants (in which event the Calculation Agent shall make appropriate adjustments to the Daily Number of Warrants with respect to one or more Expiration Dates) if Dealer reasonably determines, in its good faith, commercially reasonable judgment (or, in the case of clause (ii) below only, based on the advice of counsel), that such postponement is reasonably necessary or appropriate (i) to preserve Dealer’s hedging or hedge unwind activity hereunder in light of existing liquidity conditions (but only if there is a material decrease in liquidity relative to Dealer’s expectation on the Trade Date, as determined by Dealer in its sole discretion) or (ii) to enable Dealer to effect transactions in Shares in connection with its hedging, hedge unwind or settlement activity hereunder in a manner that would, if Dealer were Issuer or an affiliated purchaser of Issuer,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Expiration Date or other date of valuation or delivery may be postponed or added more than 120 Exchange Business Days after the final Expiration Date or original other date of valuation or delivery, as the case may be.</w:t>
      </w:r>
    </w:p>
    <w:p>
      <w:pPr>
        <w:spacing w:after="0" w:line="97" w:lineRule="exact"/>
        <w:rPr>
          <w:rFonts w:ascii="Times New Roman" w:cs="Times New Roman" w:eastAsia="Times New Roman" w:hAnsi="Times New Roman"/>
          <w:sz w:val="18"/>
          <w:szCs w:val="18"/>
          <w:color w:val="auto"/>
        </w:rPr>
      </w:pPr>
    </w:p>
    <w:p>
      <w:pPr>
        <w:ind w:left="540" w:right="80" w:hanging="532"/>
        <w:spacing w:after="0" w:line="257"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with respect to the Transaction that are senior to the claims of common stockholders of Company in any United States bankruptcy proceedings of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87"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8" w:lineRule="exact"/>
        <w:rPr>
          <w:rFonts w:ascii="Times New Roman" w:cs="Times New Roman" w:eastAsia="Times New Roman" w:hAnsi="Times New Roman"/>
          <w:sz w:val="18"/>
          <w:szCs w:val="18"/>
          <w:color w:val="auto"/>
        </w:rPr>
      </w:pPr>
    </w:p>
    <w:p>
      <w:pPr>
        <w:ind w:left="540" w:right="160" w:hanging="532"/>
        <w:spacing w:after="0" w:line="256"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00"/>
          </w:cols>
          <w:pgMar w:left="860" w:top="268" w:right="439" w:bottom="1440" w:gutter="0" w:footer="0" w:header="0"/>
        </w:sectPr>
      </w:pPr>
    </w:p>
    <w:bookmarkStart w:id="281" w:name="page282"/>
    <w:bookmarkEnd w:id="281"/>
    <w:p>
      <w:pPr>
        <w:ind w:left="964" w:right="100" w:hanging="532"/>
        <w:spacing w:after="0" w:line="271" w:lineRule="auto"/>
        <w:tabs>
          <w:tab w:leader="none" w:pos="964"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and Acknowledgements Regarding Hedging</w:t>
      </w:r>
      <w:r>
        <w:rPr>
          <w:rFonts w:ascii="Times New Roman" w:cs="Times New Roman" w:eastAsia="Times New Roman" w:hAnsi="Times New Roman"/>
          <w:sz w:val="17"/>
          <w:szCs w:val="17"/>
          <w:color w:val="auto"/>
        </w:rPr>
        <w:t>. Company understands, acknowledges and agrees that: (A) at any time 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Times New Roman" w:cs="Times New Roman" w:eastAsia="Times New Roman" w:hAnsi="Times New Roman"/>
          <w:sz w:val="17"/>
          <w:szCs w:val="17"/>
          <w:color w:val="auto"/>
        </w:rPr>
      </w:pPr>
    </w:p>
    <w:p>
      <w:pPr>
        <w:ind w:left="964"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92" w:lineRule="exact"/>
        <w:rPr>
          <w:rFonts w:ascii="Times New Roman" w:cs="Times New Roman" w:eastAsia="Times New Roman" w:hAnsi="Times New Roman"/>
          <w:sz w:val="17"/>
          <w:szCs w:val="17"/>
          <w:color w:val="auto"/>
        </w:rPr>
      </w:pPr>
    </w:p>
    <w:p>
      <w:pPr>
        <w:ind w:left="964" w:hanging="532"/>
        <w:spacing w:after="0" w:line="258" w:lineRule="auto"/>
        <w:tabs>
          <w:tab w:leader="none" w:pos="964"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Early Unwind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event the sale of the [“Firm]</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(as defined in the Purchase Agreement, dated as of May [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among Company and J.P. Morgan Securities LLC, Citigroup Global Markets Inc., Morgan Stanley &amp; Co. LLC, BofA Securities, Inc. and Goldman Sachs &amp; Co. LLC, as representatives of the Initial Purchasers party thereto (the “</w:t>
      </w:r>
      <w:r>
        <w:rPr>
          <w:rFonts w:ascii="Times New Roman" w:cs="Times New Roman" w:eastAsia="Times New Roman" w:hAnsi="Times New Roman"/>
          <w:sz w:val="17"/>
          <w:szCs w:val="17"/>
          <w:b w:val="1"/>
          <w:bCs w:val="1"/>
          <w:color w:val="auto"/>
        </w:rPr>
        <w:t>Initial Purchasers</w:t>
      </w:r>
      <w:r>
        <w:rPr>
          <w:rFonts w:ascii="Times New Roman" w:cs="Times New Roman" w:eastAsia="Times New Roman" w:hAnsi="Times New Roman"/>
          <w:sz w:val="17"/>
          <w:szCs w:val="17"/>
          <w:color w:val="auto"/>
        </w:rPr>
        <w:t>”)) is not consummated with the Initial Purchasers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Times New Roman" w:cs="Times New Roman" w:eastAsia="Times New Roman" w:hAnsi="Times New Roman"/>
          <w:sz w:val="17"/>
          <w:szCs w:val="17"/>
          <w:b w:val="1"/>
          <w:bCs w:val="1"/>
          <w:color w:val="auto"/>
        </w:rPr>
        <w:t>Early Unwind Date</w:t>
      </w:r>
      <w:r>
        <w:rPr>
          <w:rFonts w:ascii="Times New Roman" w:cs="Times New Roman" w:eastAsia="Times New Roman" w:hAnsi="Times New Roman"/>
          <w:sz w:val="17"/>
          <w:szCs w:val="17"/>
          <w:color w:val="auto"/>
        </w:rPr>
        <w:t>”), the Transaction shall automatically terminate (the “</w:t>
      </w:r>
      <w:r>
        <w:rPr>
          <w:rFonts w:ascii="Times New Roman" w:cs="Times New Roman" w:eastAsia="Times New Roman" w:hAnsi="Times New Roman"/>
          <w:sz w:val="17"/>
          <w:szCs w:val="17"/>
          <w:b w:val="1"/>
          <w:bCs w:val="1"/>
          <w:color w:val="auto"/>
        </w:rPr>
        <w:t>Early Unwind</w:t>
      </w:r>
      <w:r>
        <w:rPr>
          <w:rFonts w:ascii="Times New Roman" w:cs="Times New Roman" w:eastAsia="Times New Roman" w:hAnsi="Times New Roman"/>
          <w:sz w:val="17"/>
          <w:szCs w:val="17"/>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87" w:lineRule="exact"/>
        <w:rPr>
          <w:rFonts w:ascii="Times New Roman" w:cs="Times New Roman" w:eastAsia="Times New Roman" w:hAnsi="Times New Roman"/>
          <w:sz w:val="17"/>
          <w:szCs w:val="17"/>
          <w:color w:val="auto"/>
        </w:rPr>
      </w:pPr>
    </w:p>
    <w:p>
      <w:pPr>
        <w:ind w:left="964" w:right="340" w:hanging="532"/>
        <w:spacing w:after="0" w:line="258" w:lineRule="auto"/>
        <w:tabs>
          <w:tab w:leader="none" w:pos="96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Dealer</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88" w:lineRule="exact"/>
        <w:rPr>
          <w:rFonts w:ascii="Times New Roman" w:cs="Times New Roman" w:eastAsia="Times New Roman" w:hAnsi="Times New Roman"/>
          <w:sz w:val="18"/>
          <w:szCs w:val="18"/>
          <w:color w:val="auto"/>
        </w:rPr>
      </w:pPr>
    </w:p>
    <w:p>
      <w:pPr>
        <w:ind w:left="964" w:hanging="532"/>
        <w:spacing w:after="0" w:line="267" w:lineRule="auto"/>
        <w:tabs>
          <w:tab w:leader="none" w:pos="96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Listing of Warrant Shares</w:t>
      </w:r>
      <w:r>
        <w:rPr>
          <w:rFonts w:ascii="Times New Roman" w:cs="Times New Roman" w:eastAsia="Times New Roman" w:hAnsi="Times New Roman"/>
          <w:sz w:val="18"/>
          <w:szCs w:val="18"/>
          <w:color w:val="auto"/>
        </w:rPr>
        <w:t>. Company shall have submitted an application for the listing of the Warrant Shares on the Exchange,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and listing shall have been approved by the Exchange, subject only to official notice of issuance, in each case, on or prior to the Premium Payment Date.</w:t>
      </w:r>
    </w:p>
    <w:p>
      <w:pPr>
        <w:spacing w:after="0" w:line="78" w:lineRule="exact"/>
        <w:rPr>
          <w:rFonts w:ascii="Times New Roman" w:cs="Times New Roman" w:eastAsia="Times New Roman" w:hAnsi="Times New Roman"/>
          <w:sz w:val="18"/>
          <w:szCs w:val="18"/>
          <w:color w:val="auto"/>
        </w:rPr>
      </w:pPr>
    </w:p>
    <w:p>
      <w:pPr>
        <w:ind w:left="964" w:right="280" w:hanging="532"/>
        <w:spacing w:after="0" w:line="272" w:lineRule="auto"/>
        <w:tabs>
          <w:tab w:leader="none" w:pos="96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964" w:hanging="532"/>
        <w:spacing w:after="0"/>
        <w:tabs>
          <w:tab w:leader="none" w:pos="96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Dealer boilerplate, including QFC language, if 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Base Warrant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in Additional Warrant Confirmation.</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Dealers who are U.S. broker-dealers.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282" w:name="page283"/>
    <w:bookmarkEnd w:id="28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the agreement between Dealer and Company with respect to the Transaction, by executing this Confirmation or this page hereof as evidence of agreement to such terms and providing the other information requested herein and returning an executed copy to Dealer.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pacing w:after="0" w:line="13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Warrant Confirmation</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-7620</wp:posOffset>
            </wp:positionV>
            <wp:extent cx="20567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37"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Warrant Confirmation</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
      <w:numFmt w:val="bullet"/>
      <w:start w:val="1"/>
    </w:lvl>
  </w:abstractNum>
  <w:abstractNum w:abstractNumId="1">
    <w:nsid w:val="704E1DD5"/>
    <w:multiLevelType w:val="hybridMultilevel"/>
    <w:lvl w:ilvl="0">
      <w:lvlJc w:val="left"/>
      <w:lvlText w:val=" "/>
      <w:numFmt w:val="bullet"/>
      <w:start w:val="1"/>
    </w:lvl>
  </w:abstractNum>
  <w:abstractNum w:abstractNumId="2">
    <w:nsid w:val="57D2F10E"/>
    <w:multiLevelType w:val="hybridMultilevel"/>
    <w:lvl w:ilvl="0">
      <w:lvlJc w:val="left"/>
      <w:lvlText w:val="(%1)"/>
      <w:numFmt w:val="lowerLetter"/>
      <w:start w:val="1"/>
    </w:lvl>
  </w:abstractNum>
  <w:abstractNum w:abstractNumId="3">
    <w:nsid w:val="BFFAE18"/>
    <w:multiLevelType w:val="hybridMultilevel"/>
    <w:lvl w:ilvl="0">
      <w:lvlJc w:val="left"/>
      <w:lvlText w:val="(%1)"/>
      <w:numFmt w:val="lowerLetter"/>
      <w:start w:val="1"/>
    </w:lvl>
  </w:abstractNum>
  <w:abstractNum w:abstractNumId="4">
    <w:nsid w:val="E3E47A8"/>
    <w:multiLevelType w:val="hybridMultilevel"/>
    <w:lvl w:ilvl="0">
      <w:lvlJc w:val="left"/>
      <w:lvlText w:val="(%1)"/>
      <w:numFmt w:val="lowerLetter"/>
      <w:start w:val="1"/>
    </w:lvl>
  </w:abstractNum>
  <w:abstractNum w:abstractNumId="5">
    <w:nsid w:val="2E48F044"/>
    <w:multiLevelType w:val="hybridMultilevel"/>
    <w:lvl w:ilvl="0">
      <w:lvlJc w:val="left"/>
      <w:lvlText w:val="(%1)"/>
      <w:numFmt w:val="lowerRoman"/>
      <w:start w:val="2"/>
    </w:lvl>
  </w:abstractNum>
  <w:abstractNum w:abstractNumId="6">
    <w:nsid w:val="49D0FEAC"/>
    <w:multiLevelType w:val="hybridMultilevel"/>
    <w:lvl w:ilvl="0">
      <w:lvlJc w:val="left"/>
      <w:lvlText w:val="(%1)"/>
      <w:numFmt w:val="lowerLetter"/>
      <w:start w:val="1"/>
    </w:lvl>
  </w:abstractNum>
  <w:abstractNum w:abstractNumId="7">
    <w:nsid w:val="4BEE5A5B"/>
    <w:multiLevelType w:val="hybridMultilevel"/>
    <w:lvl w:ilvl="0">
      <w:lvlJc w:val="left"/>
      <w:lvlText w:val="(%1)"/>
      <w:numFmt w:val="lowerLetter"/>
      <w:start w:val="3"/>
    </w:lvl>
  </w:abstractNum>
  <w:abstractNum w:abstractNumId="8">
    <w:nsid w:val="5551B9F3"/>
    <w:multiLevelType w:val="hybridMultilevel"/>
    <w:lvl w:ilvl="0">
      <w:lvlJc w:val="left"/>
      <w:lvlText w:val="(%1)"/>
      <w:numFmt w:val="lowerLetter"/>
      <w:start w:val="2"/>
    </w:lvl>
  </w:abstractNum>
  <w:abstractNum w:abstractNumId="9">
    <w:nsid w:val="24F6AB8E"/>
    <w:multiLevelType w:val="hybridMultilevel"/>
    <w:lvl w:ilvl="0">
      <w:lvlJc w:val="left"/>
      <w:lvlText w:val="(%1)"/>
      <w:numFmt w:val="lowerLetter"/>
      <w:start w:val="3"/>
    </w:lvl>
    <w:lvl w:ilvl="1">
      <w:lvlJc w:val="left"/>
      <w:lvlText w:val="(%2)"/>
      <w:numFmt w:val="lowerRoman"/>
      <w:start w:val="1"/>
    </w:lvl>
  </w:abstractNum>
  <w:abstractNum w:abstractNumId="10">
    <w:nsid w:val="634C574C"/>
    <w:multiLevelType w:val="hybridMultilevel"/>
    <w:lvl w:ilvl="0">
      <w:lvlJc w:val="left"/>
      <w:lvlText w:val="(%1)"/>
      <w:numFmt w:val="lowerLetter"/>
      <w:start w:val="2"/>
    </w:lvl>
  </w:abstractNum>
  <w:abstractNum w:abstractNumId="11">
    <w:nsid w:val="24E99DD7"/>
    <w:multiLevelType w:val="hybridMultilevel"/>
    <w:lvl w:ilvl="0">
      <w:lvlJc w:val="left"/>
      <w:lvlText w:val="(%1)"/>
      <w:numFmt w:val="decimal"/>
      <w:start w:val="1"/>
    </w:lvl>
    <w:lvl w:ilvl="1">
      <w:lvlJc w:val="left"/>
      <w:lvlText w:val="(%2)"/>
      <w:numFmt w:val="upperLetter"/>
      <w:start w:val="1"/>
    </w:lvl>
  </w:abstractNum>
  <w:abstractNum w:abstractNumId="12">
    <w:nsid w:val="2A31B62D"/>
    <w:multiLevelType w:val="hybridMultilevel"/>
    <w:lvl w:ilvl="0">
      <w:lvlJc w:val="left"/>
      <w:lvlText w:val="(%1)"/>
      <w:numFmt w:val="upperLetter"/>
      <w:start w:val="3"/>
    </w:lvl>
  </w:abstractNum>
  <w:abstractNum w:abstractNumId="13">
    <w:nsid w:val="1849C29B"/>
    <w:multiLevelType w:val="hybridMultilevel"/>
    <w:lvl w:ilvl="0">
      <w:lvlJc w:val="left"/>
      <w:lvlText w:val="(%1)"/>
      <w:numFmt w:val="lowerRoman"/>
      <w:start w:val="2"/>
    </w:lvl>
  </w:abstractNum>
  <w:abstractNum w:abstractNumId="14">
    <w:nsid w:val="7DFF9D09"/>
    <w:multiLevelType w:val="hybridMultilevel"/>
    <w:lvl w:ilvl="0">
      <w:lvlJc w:val="left"/>
      <w:lvlText w:val="(%1)"/>
      <w:numFmt w:val="lowerLetter"/>
      <w:start w:val="4"/>
    </w:lvl>
  </w:abstractNum>
  <w:abstractNum w:abstractNumId="15">
    <w:nsid w:val="754342"/>
    <w:multiLevelType w:val="hybridMultilevel"/>
    <w:lvl w:ilvl="0">
      <w:lvlJc w:val="left"/>
      <w:lvlText w:val="(%1)"/>
      <w:numFmt w:val="decimal"/>
      <w:start w:val="1"/>
    </w:lvl>
    <w:lvl w:ilvl="1">
      <w:lvlJc w:val="left"/>
      <w:lvlText w:val="(%2)"/>
      <w:numFmt w:val="upperLetter"/>
      <w:start w:val="1"/>
    </w:lvl>
  </w:abstractNum>
  <w:abstractNum w:abstractNumId="16">
    <w:nsid w:val="69E7F3E5"/>
    <w:multiLevelType w:val="hybridMultilevel"/>
    <w:lvl w:ilvl="0">
      <w:lvlJc w:val="left"/>
      <w:lvlText w:val="(%1)"/>
      <w:numFmt w:val="upperLetter"/>
      <w:start w:val="3"/>
    </w:lvl>
  </w:abstractNum>
  <w:abstractNum w:abstractNumId="17">
    <w:nsid w:val="2A6DE806"/>
    <w:multiLevelType w:val="hybridMultilevel"/>
    <w:lvl w:ilvl="0">
      <w:lvlJc w:val="left"/>
      <w:lvlText w:val="(%1)"/>
      <w:numFmt w:val="lowerLetter"/>
      <w:start w:val="5"/>
    </w:lvl>
  </w:abstractNum>
  <w:abstractNum w:abstractNumId="18">
    <w:nsid w:val="1816F8C4"/>
    <w:multiLevelType w:val="hybridMultilevel"/>
    <w:lvl w:ilvl="0">
      <w:lvlJc w:val="left"/>
      <w:lvlText w:val="(%1)"/>
      <w:numFmt w:val="lowerRoman"/>
      <w:start w:val="10"/>
    </w:lvl>
  </w:abstractNum>
  <w:abstractNum w:abstractNumId="19">
    <w:nsid w:val="37DF2233"/>
    <w:multiLevelType w:val="hybridMultilevel"/>
    <w:lvl w:ilvl="0">
      <w:lvlJc w:val="left"/>
      <w:lvlText w:val="(%1)"/>
      <w:numFmt w:val="lowerRoman"/>
      <w:start w:val="1"/>
    </w:lvl>
  </w:abstractNum>
  <w:abstractNum w:abstractNumId="20">
    <w:nsid w:val="7AB49DAF"/>
    <w:multiLevelType w:val="hybridMultilevel"/>
    <w:lvl w:ilvl="0">
      <w:lvlJc w:val="left"/>
      <w:lvlText w:val="(%1)"/>
      <w:numFmt w:val="lowerLetter"/>
      <w:start w:val="2"/>
    </w:lvl>
  </w:abstractNum>
  <w:abstractNum w:abstractNumId="21">
    <w:nsid w:val="759F82CD"/>
    <w:multiLevelType w:val="hybridMultilevel"/>
    <w:lvl w:ilvl="0">
      <w:lvlJc w:val="left"/>
      <w:lvlText w:val="(%1)"/>
      <w:numFmt w:val="lowerLetter"/>
      <w:start w:val="4"/>
    </w:lvl>
  </w:abstractNum>
  <w:abstractNum w:abstractNumId="22">
    <w:nsid w:val="61E74EA3"/>
    <w:multiLevelType w:val="hybridMultilevel"/>
    <w:lvl w:ilvl="0">
      <w:lvlJc w:val="left"/>
      <w:lvlText w:val="(%1)"/>
      <w:numFmt w:val="lowerLetter"/>
      <w:start w:val="2"/>
    </w:lvl>
  </w:abstractNum>
  <w:abstractNum w:abstractNumId="23">
    <w:nsid w:val="597B4D84"/>
    <w:multiLevelType w:val="hybridMultilevel"/>
    <w:lvl w:ilvl="0">
      <w:lvlJc w:val="left"/>
      <w:lvlText w:val="(%1)"/>
      <w:numFmt w:val="lowerLetter"/>
      <w:start w:val="3"/>
    </w:lvl>
  </w:abstractNum>
  <w:abstractNum w:abstractNumId="24">
    <w:nsid w:val="F819E7F"/>
    <w:multiLevelType w:val="hybridMultilevel"/>
    <w:lvl w:ilvl="0">
      <w:lvlJc w:val="left"/>
      <w:lvlText w:val="(%1)"/>
      <w:numFmt w:val="lowerLetter"/>
      <w:start w:val="6"/>
    </w:lvl>
  </w:abstractNum>
  <w:abstractNum w:abstractNumId="25">
    <w:nsid w:val="57C7D42D"/>
    <w:multiLevelType w:val="hybridMultilevel"/>
    <w:lvl w:ilvl="0">
      <w:lvlJc w:val="left"/>
      <w:lvlText w:val="(%1)"/>
      <w:numFmt w:val="lowerRoman"/>
      <w:start w:val="1"/>
    </w:lvl>
  </w:abstractNum>
  <w:abstractNum w:abstractNumId="26">
    <w:nsid w:val="312167AD"/>
    <w:multiLevelType w:val="hybridMultilevel"/>
    <w:lvl w:ilvl="0">
      <w:lvlJc w:val="left"/>
      <w:lvlText w:val="%1"/>
      <w:numFmt w:val="lowerLetter"/>
      <w:start w:val="1"/>
    </w:lvl>
    <w:lvl w:ilvl="1">
      <w:lvlJc w:val="left"/>
      <w:lvlText w:val="(%2)"/>
      <w:numFmt w:val="lowerLetter"/>
      <w:start w:val="1"/>
    </w:lvl>
  </w:abstractNum>
  <w:abstractNum w:abstractNumId="27">
    <w:nsid w:val="631B64D4"/>
    <w:multiLevelType w:val="hybridMultilevel"/>
    <w:lvl w:ilvl="0">
      <w:lvlJc w:val="left"/>
      <w:lvlText w:val="(%1)"/>
      <w:numFmt w:val="lowerLetter"/>
      <w:start w:val="9"/>
    </w:lvl>
    <w:lvl w:ilvl="1">
      <w:lvlJc w:val="left"/>
      <w:lvlText w:val="%2"/>
      <w:numFmt w:val="lowerLetter"/>
      <w:start w:val="1"/>
    </w:lvl>
  </w:abstractNum>
  <w:abstractNum w:abstractNumId="28">
    <w:nsid w:val="78B5E776"/>
    <w:multiLevelType w:val="hybridMultilevel"/>
    <w:lvl w:ilvl="0">
      <w:lvlJc w:val="left"/>
      <w:lvlText w:val="(%1)"/>
      <w:numFmt w:val="lowerLetter"/>
      <w:start w:val="8"/>
    </w:lvl>
  </w:abstractNum>
  <w:abstractNum w:abstractNumId="29">
    <w:nsid w:val="75486E47"/>
    <w:multiLevelType w:val="hybridMultilevel"/>
    <w:lvl w:ilvl="0">
      <w:lvlJc w:val="left"/>
      <w:lvlText w:val="(%1)"/>
      <w:numFmt w:val="lowerLetter"/>
      <w:start w:val="1"/>
    </w:lvl>
  </w:abstractNum>
  <w:abstractNum w:abstractNumId="30">
    <w:nsid w:val="6E534CDE"/>
    <w:multiLevelType w:val="hybridMultilevel"/>
    <w:lvl w:ilvl="0">
      <w:lvlJc w:val="left"/>
      <w:lvlText w:val="(%1)"/>
      <w:numFmt w:val="lowerLetter"/>
      <w:start w:val="1"/>
    </w:lvl>
  </w:abstractNum>
  <w:abstractNum w:abstractNumId="31">
    <w:nsid w:val="1A0DDE32"/>
    <w:multiLevelType w:val="hybridMultilevel"/>
    <w:lvl w:ilvl="0">
      <w:lvlJc w:val="left"/>
      <w:lvlText w:val="(%1)"/>
      <w:numFmt w:val="lowerLetter"/>
      <w:start w:val="5"/>
    </w:lvl>
  </w:abstractNum>
  <w:abstractNum w:abstractNumId="32">
    <w:nsid w:val="65968C1C"/>
    <w:multiLevelType w:val="hybridMultilevel"/>
    <w:lvl w:ilvl="0">
      <w:lvlJc w:val="left"/>
      <w:lvlText w:val="(%1)"/>
      <w:numFmt w:val="lowerLetter"/>
      <w:start w:val="1"/>
    </w:lvl>
    <w:lvl w:ilvl="1">
      <w:lvlJc w:val="left"/>
      <w:lvlText w:val="(%2)"/>
      <w:numFmt w:val="lowerRoman"/>
      <w:start w:val="1"/>
    </w:lvl>
  </w:abstractNum>
  <w:abstractNum w:abstractNumId="33">
    <w:nsid w:val="46263DEC"/>
    <w:multiLevelType w:val="hybridMultilevel"/>
    <w:lvl w:ilvl="0">
      <w:lvlJc w:val="left"/>
      <w:lvlText w:val="(%1)"/>
      <w:numFmt w:val="lowerLetter"/>
      <w:start w:val="2"/>
    </w:lvl>
  </w:abstractNum>
  <w:abstractNum w:abstractNumId="34">
    <w:nsid w:val="260D8C4A"/>
    <w:multiLevelType w:val="hybridMultilevel"/>
    <w:lvl w:ilvl="0">
      <w:lvlJc w:val="left"/>
      <w:lvlText w:val="(%1)"/>
      <w:numFmt w:val="lowerLetter"/>
      <w:start w:val="1"/>
    </w:lvl>
  </w:abstractNum>
  <w:abstractNum w:abstractNumId="35">
    <w:nsid w:val="73D4D3C4"/>
    <w:multiLevelType w:val="hybridMultilevel"/>
    <w:lvl w:ilvl="0">
      <w:lvlJc w:val="left"/>
      <w:lvlText w:val="(%1)"/>
      <w:numFmt w:val="lowerLetter"/>
      <w:start w:val="10"/>
    </w:lvl>
  </w:abstractNum>
  <w:abstractNum w:abstractNumId="36">
    <w:nsid w:val="746F2E30"/>
    <w:multiLevelType w:val="hybridMultilevel"/>
    <w:lvl w:ilvl="0">
      <w:lvlJc w:val="left"/>
      <w:lvlText w:val="(%1)"/>
      <w:numFmt w:val="decimal"/>
      <w:start w:val="2"/>
    </w:lvl>
  </w:abstractNum>
  <w:abstractNum w:abstractNumId="37">
    <w:nsid w:val="6FDE8AF6"/>
    <w:multiLevelType w:val="hybridMultilevel"/>
    <w:lvl w:ilvl="0">
      <w:lvlJc w:val="left"/>
      <w:lvlText w:val="(%1)"/>
      <w:numFmt w:val="lowerLetter"/>
      <w:start w:val="2"/>
    </w:lvl>
    <w:lvl w:ilvl="1">
      <w:lvlJc w:val="left"/>
      <w:lvlText w:val="(%2)"/>
      <w:numFmt w:val="lowerRoman"/>
      <w:start w:val="1"/>
    </w:lvl>
  </w:abstractNum>
  <w:abstractNum w:abstractNumId="38">
    <w:nsid w:val="3FC32E20"/>
    <w:multiLevelType w:val="hybridMultilevel"/>
    <w:lvl w:ilvl="0">
      <w:lvlJc w:val="left"/>
      <w:lvlText w:val="(%1)"/>
      <w:numFmt w:val="lowerLetter"/>
      <w:start w:val="3"/>
    </w:lvl>
  </w:abstractNum>
  <w:abstractNum w:abstractNumId="39">
    <w:nsid w:val="49C0E823"/>
    <w:multiLevelType w:val="hybridMultilevel"/>
    <w:lvl w:ilvl="0">
      <w:lvlJc w:val="left"/>
      <w:lvlText w:val="(%1)"/>
      <w:numFmt w:val="lowerLetter"/>
      <w:start w:val="1"/>
    </w:lvl>
  </w:abstractNum>
  <w:abstractNum w:abstractNumId="40">
    <w:nsid w:val="14D53685"/>
    <w:multiLevelType w:val="hybridMultilevel"/>
    <w:lvl w:ilvl="0">
      <w:lvlJc w:val="left"/>
      <w:lvlText w:val="(%1)"/>
      <w:numFmt w:val="lowerLetter"/>
      <w:start w:val="1"/>
    </w:lvl>
  </w:abstractNum>
  <w:abstractNum w:abstractNumId="41">
    <w:nsid w:val="230F856C"/>
    <w:multiLevelType w:val="hybridMultilevel"/>
    <w:lvl w:ilvl="0">
      <w:lvlJc w:val="left"/>
      <w:lvlText w:val="(%1)"/>
      <w:numFmt w:val="lowerLetter"/>
      <w:start w:val="1"/>
    </w:lvl>
  </w:abstractNum>
  <w:abstractNum w:abstractNumId="42">
    <w:nsid w:val="6EAA85FB"/>
    <w:multiLevelType w:val="hybridMultilevel"/>
    <w:lvl w:ilvl="0">
      <w:lvlJc w:val="left"/>
      <w:lvlText w:val="(%1)"/>
      <w:numFmt w:val="lowerLetter"/>
      <w:start w:val="1"/>
    </w:lvl>
  </w:abstractNum>
  <w:abstractNum w:abstractNumId="43">
    <w:nsid w:val="3F06ECB2"/>
    <w:multiLevelType w:val="hybridMultilevel"/>
    <w:lvl w:ilvl="0">
      <w:lvlJc w:val="left"/>
      <w:lvlText w:val="(%1)"/>
      <w:numFmt w:val="lowerLetter"/>
      <w:start w:val="1"/>
    </w:lvl>
  </w:abstractNum>
  <w:abstractNum w:abstractNumId="44">
    <w:nsid w:val="3B594807"/>
    <w:multiLevelType w:val="hybridMultilevel"/>
    <w:lvl w:ilvl="0">
      <w:lvlJc w:val="left"/>
      <w:lvlText w:val="(%1)"/>
      <w:numFmt w:val="lowerLetter"/>
      <w:start w:val="2"/>
    </w:lvl>
  </w:abstractNum>
  <w:abstractNum w:abstractNumId="45">
    <w:nsid w:val="6CAA2304"/>
    <w:multiLevelType w:val="hybridMultilevel"/>
    <w:lvl w:ilvl="0">
      <w:lvlJc w:val="left"/>
      <w:lvlText w:val="(%1)"/>
      <w:numFmt w:val="lowerRoman"/>
      <w:start w:val="2"/>
    </w:lvl>
    <w:lvl w:ilvl="1">
      <w:lvlJc w:val="left"/>
      <w:lvlText w:val="(%2)"/>
      <w:numFmt w:val="upperLetter"/>
      <w:start w:val="1"/>
    </w:lvl>
  </w:abstractNum>
  <w:abstractNum w:abstractNumId="46">
    <w:nsid w:val="3F7C2FF4"/>
    <w:multiLevelType w:val="hybridMultilevel"/>
    <w:lvl w:ilvl="0">
      <w:lvlJc w:val="left"/>
      <w:lvlText w:val="(%1)"/>
      <w:numFmt w:val="lowerRoman"/>
      <w:start w:val="2"/>
    </w:lvl>
  </w:abstractNum>
  <w:abstractNum w:abstractNumId="47">
    <w:nsid w:val="25413BEC"/>
    <w:multiLevelType w:val="hybridMultilevel"/>
    <w:lvl w:ilvl="0">
      <w:lvlJc w:val="left"/>
      <w:lvlText w:val="(%1)"/>
      <w:numFmt w:val="lowerRoman"/>
      <w:start w:val="3"/>
    </w:lvl>
  </w:abstractNum>
  <w:abstractNum w:abstractNumId="48">
    <w:nsid w:val="17180B0B"/>
    <w:multiLevelType w:val="hybridMultilevel"/>
    <w:lvl w:ilvl="0">
      <w:lvlJc w:val="left"/>
      <w:lvlText w:val="(%1)"/>
      <w:numFmt w:val="lowerLetter"/>
      <w:start w:val="1"/>
    </w:lvl>
  </w:abstractNum>
  <w:abstractNum w:abstractNumId="49">
    <w:nsid w:val="579328B9"/>
    <w:multiLevelType w:val="hybridMultilevel"/>
    <w:lvl w:ilvl="0">
      <w:lvlJc w:val="left"/>
      <w:lvlText w:val="(%1)"/>
      <w:numFmt w:val="lowerRoman"/>
      <w:start w:val="1"/>
    </w:lvl>
  </w:abstractNum>
  <w:abstractNum w:abstractNumId="50">
    <w:nsid w:val="5D205E20"/>
    <w:multiLevelType w:val="hybridMultilevel"/>
    <w:lvl w:ilvl="0">
      <w:lvlJc w:val="left"/>
      <w:lvlText w:val="(%1)"/>
      <w:numFmt w:val="lowerLetter"/>
      <w:start w:val="2"/>
    </w:lvl>
  </w:abstractNum>
  <w:abstractNum w:abstractNumId="51">
    <w:nsid w:val="11CCA8BA"/>
    <w:multiLevelType w:val="hybridMultilevel"/>
    <w:lvl w:ilvl="0">
      <w:lvlJc w:val="left"/>
      <w:lvlText w:val="(%1)"/>
      <w:numFmt w:val="lowerLetter"/>
      <w:start w:val="3"/>
    </w:lvl>
  </w:abstractNum>
  <w:abstractNum w:abstractNumId="52">
    <w:nsid w:val="4D32AB86"/>
    <w:multiLevelType w:val="hybridMultilevel"/>
    <w:lvl w:ilvl="0">
      <w:lvlJc w:val="left"/>
      <w:lvlText w:val="(%1)"/>
      <w:numFmt w:val="lowerLetter"/>
      <w:start w:val="5"/>
    </w:lvl>
  </w:abstractNum>
  <w:abstractNum w:abstractNumId="53">
    <w:nsid w:val="3F07ACC3"/>
    <w:multiLevelType w:val="hybridMultilevel"/>
    <w:lvl w:ilvl="0">
      <w:lvlJc w:val="left"/>
      <w:lvlText w:val="(%1)"/>
      <w:numFmt w:val="lowerLetter"/>
      <w:start w:val="8"/>
    </w:lvl>
  </w:abstractNum>
  <w:abstractNum w:abstractNumId="54">
    <w:nsid w:val="6B47F63E"/>
    <w:multiLevelType w:val="hybridMultilevel"/>
    <w:lvl w:ilvl="0">
      <w:lvlJc w:val="left"/>
      <w:lvlText w:val="(%1)"/>
      <w:numFmt w:val="lowerLetter"/>
      <w:start w:val="2"/>
    </w:lvl>
  </w:abstractNum>
  <w:abstractNum w:abstractNumId="55">
    <w:nsid w:val="5CB44A05"/>
    <w:multiLevelType w:val="hybridMultilevel"/>
    <w:lvl w:ilvl="0">
      <w:lvlJc w:val="left"/>
      <w:lvlText w:val="(%1)"/>
      <w:numFmt w:val="lowerLetter"/>
      <w:start w:val="3"/>
    </w:lvl>
  </w:abstractNum>
  <w:abstractNum w:abstractNumId="56">
    <w:nsid w:val="16CF80F1"/>
    <w:multiLevelType w:val="hybridMultilevel"/>
    <w:lvl w:ilvl="0">
      <w:lvlJc w:val="left"/>
      <w:lvlText w:val="(%1)"/>
      <w:numFmt w:val="lowerRoman"/>
      <w:start w:val="1"/>
    </w:lvl>
  </w:abstractNum>
  <w:abstractNum w:abstractNumId="57">
    <w:nsid w:val="1C695DEC"/>
    <w:multiLevelType w:val="hybridMultilevel"/>
    <w:lvl w:ilvl="0">
      <w:lvlJc w:val="left"/>
      <w:lvlText w:val="(%1)"/>
      <w:numFmt w:val="lowerRoman"/>
      <w:start w:val="2"/>
    </w:lvl>
  </w:abstractNum>
  <w:abstractNum w:abstractNumId="58">
    <w:nsid w:val="3FCFAED9"/>
    <w:multiLevelType w:val="hybridMultilevel"/>
    <w:lvl w:ilvl="0">
      <w:lvlJc w:val="left"/>
      <w:lvlText w:val="(%1)"/>
      <w:numFmt w:val="lowerLetter"/>
      <w:start w:val="6"/>
    </w:lvl>
  </w:abstractNum>
  <w:abstractNum w:abstractNumId="59">
    <w:nsid w:val="F856867"/>
    <w:multiLevelType w:val="hybridMultilevel"/>
    <w:lvl w:ilvl="0">
      <w:lvlJc w:val="left"/>
      <w:lvlText w:val="(%1)"/>
      <w:numFmt w:val="lowerLetter"/>
      <w:start w:val="1"/>
    </w:lvl>
  </w:abstractNum>
  <w:abstractNum w:abstractNumId="60">
    <w:nsid w:val="11B1CC33"/>
    <w:multiLevelType w:val="hybridMultilevel"/>
    <w:lvl w:ilvl="0">
      <w:lvlJc w:val="left"/>
      <w:lvlText w:val="(%1)"/>
      <w:numFmt w:val="lowerLetter"/>
      <w:start w:val="2"/>
    </w:lvl>
  </w:abstractNum>
  <w:abstractNum w:abstractNumId="61">
    <w:nsid w:val="2E22FBB7"/>
    <w:multiLevelType w:val="hybridMultilevel"/>
    <w:lvl w:ilvl="0">
      <w:lvlJc w:val="left"/>
      <w:lvlText w:val="X"/>
      <w:numFmt w:val="bullet"/>
      <w:start w:val="1"/>
    </w:lvl>
  </w:abstractNum>
  <w:abstractNum w:abstractNumId="62">
    <w:nsid w:val="29934699"/>
    <w:multiLevelType w:val="hybridMultilevel"/>
    <w:lvl w:ilvl="0">
      <w:lvlJc w:val="left"/>
      <w:lvlText w:val="Y"/>
      <w:numFmt w:val="bullet"/>
      <w:start w:val="1"/>
    </w:lvl>
  </w:abstractNum>
  <w:abstractNum w:abstractNumId="63">
    <w:nsid w:val="77485850"/>
    <w:multiLevelType w:val="hybridMultilevel"/>
    <w:lvl w:ilvl="0">
      <w:lvlJc w:val="left"/>
      <w:lvlText w:val="%1"/>
      <w:numFmt w:val="lowerLetter"/>
      <w:start w:val="1"/>
    </w:lvl>
    <w:lvl w:ilvl="1">
      <w:lvlJc w:val="left"/>
      <w:lvlText w:val="(%2)"/>
      <w:numFmt w:val="lowerLetter"/>
      <w:start w:val="3"/>
    </w:lvl>
  </w:abstractNum>
  <w:abstractNum w:abstractNumId="64">
    <w:nsid w:val="744939A3"/>
    <w:multiLevelType w:val="hybridMultilevel"/>
    <w:lvl w:ilvl="0">
      <w:lvlJc w:val="left"/>
      <w:lvlText w:val="(%1)"/>
      <w:numFmt w:val="lowerLetter"/>
      <w:start w:val="9"/>
    </w:lvl>
    <w:lvl w:ilvl="1">
      <w:lvlJc w:val="left"/>
      <w:lvlText w:val="%2"/>
      <w:numFmt w:val="lowerLetter"/>
      <w:start w:val="1"/>
    </w:lvl>
  </w:abstractNum>
  <w:abstractNum w:abstractNumId="65">
    <w:nsid w:val="4FA0D2E3"/>
    <w:multiLevelType w:val="hybridMultilevel"/>
    <w:lvl w:ilvl="0">
      <w:lvlJc w:val="left"/>
      <w:lvlText w:val="(%1)"/>
      <w:numFmt w:val="upperLetter"/>
      <w:start w:val="1"/>
    </w:lvl>
  </w:abstractNum>
  <w:abstractNum w:abstractNumId="66">
    <w:nsid w:val="6B1D2C14"/>
    <w:multiLevelType w:val="hybridMultilevel"/>
    <w:lvl w:ilvl="0">
      <w:lvlJc w:val="left"/>
      <w:lvlText w:val="(%1)"/>
      <w:numFmt w:val="lowerLetter"/>
      <w:start w:val="4"/>
    </w:lvl>
  </w:abstractNum>
  <w:abstractNum w:abstractNumId="67">
    <w:nsid w:val="68B867D3"/>
    <w:multiLevelType w:val="hybridMultilevel"/>
    <w:lvl w:ilvl="0">
      <w:lvlJc w:val="left"/>
      <w:lvlText w:val="C"/>
      <w:numFmt w:val="bullet"/>
      <w:start w:val="1"/>
    </w:lvl>
  </w:abstractNum>
  <w:abstractNum w:abstractNumId="68">
    <w:nsid w:val="3F7F5DD9"/>
    <w:multiLevelType w:val="hybridMultilevel"/>
    <w:lvl w:ilvl="0">
      <w:lvlJc w:val="left"/>
      <w:lvlText w:val="(%1)"/>
      <w:numFmt w:val="lowerLetter"/>
      <w:start w:val="5"/>
    </w:lvl>
  </w:abstractNum>
  <w:abstractNum w:abstractNumId="69">
    <w:nsid w:val="2AE05A34"/>
    <w:multiLevelType w:val="hybridMultilevel"/>
    <w:lvl w:ilvl="0">
      <w:lvlJc w:val="left"/>
      <w:lvlText w:val="(%1)"/>
      <w:numFmt w:val="lowerLetter"/>
      <w:start w:val="6"/>
    </w:lvl>
  </w:abstractNum>
  <w:abstractNum w:abstractNumId="70">
    <w:nsid w:val="32794FF7"/>
    <w:multiLevelType w:val="hybridMultilevel"/>
    <w:lvl w:ilvl="0">
      <w:lvlJc w:val="left"/>
      <w:lvlText w:val="(%1)"/>
      <w:numFmt w:val="lowerLetter"/>
      <w:start w:val="8"/>
    </w:lvl>
    <w:lvl w:ilvl="1">
      <w:lvlJc w:val="left"/>
      <w:lvlText w:val="(%2)"/>
      <w:numFmt w:val="lowerRoman"/>
      <w:start w:val="1"/>
    </w:lvl>
  </w:abstractNum>
  <w:abstractNum w:abstractNumId="71">
    <w:nsid w:val="5454945E"/>
    <w:multiLevelType w:val="hybridMultilevel"/>
    <w:lvl w:ilvl="0">
      <w:lvlJc w:val="left"/>
      <w:lvlText w:val="(%1)"/>
      <w:numFmt w:val="lowerLetter"/>
      <w:start w:val="11"/>
    </w:lvl>
  </w:abstractNum>
  <w:abstractNum w:abstractNumId="72">
    <w:nsid w:val="4DEFDFA0"/>
    <w:multiLevelType w:val="hybridMultilevel"/>
    <w:lvl w:ilvl="0">
      <w:lvlJc w:val="left"/>
      <w:lvlText w:val="(%1)"/>
      <w:numFmt w:val="lowerLetter"/>
      <w:start w:val="1"/>
    </w:lvl>
    <w:lvl w:ilvl="1">
      <w:lvlJc w:val="left"/>
      <w:lvlText w:val="(%2)"/>
      <w:numFmt w:val="lowerRoman"/>
      <w:start w:val="1"/>
    </w:lvl>
  </w:abstractNum>
  <w:abstractNum w:abstractNumId="73">
    <w:nsid w:val="2123D5F2"/>
    <w:multiLevelType w:val="hybridMultilevel"/>
    <w:lvl w:ilvl="0">
      <w:lvlJc w:val="left"/>
      <w:lvlText w:val="(%1)"/>
      <w:numFmt w:val="lowerLetter"/>
      <w:start w:val="2"/>
    </w:lvl>
  </w:abstractNum>
  <w:abstractNum w:abstractNumId="74">
    <w:nsid w:val="135B8110"/>
    <w:multiLevelType w:val="hybridMultilevel"/>
    <w:lvl w:ilvl="0">
      <w:lvlJc w:val="left"/>
      <w:lvlText w:val="(%1)"/>
      <w:numFmt w:val="lowerLetter"/>
      <w:start w:val="5"/>
    </w:lvl>
  </w:abstractNum>
  <w:abstractNum w:abstractNumId="75">
    <w:nsid w:val="94927A8"/>
    <w:multiLevelType w:val="hybridMultilevel"/>
    <w:lvl w:ilvl="0">
      <w:lvlJc w:val="left"/>
      <w:lvlText w:val="(%1)"/>
      <w:numFmt w:val="lowerLetter"/>
      <w:start w:val="2"/>
    </w:lvl>
  </w:abstractNum>
  <w:abstractNum w:abstractNumId="76">
    <w:nsid w:val="DCDF8F6"/>
    <w:multiLevelType w:val="hybridMultilevel"/>
    <w:lvl w:ilvl="0">
      <w:lvlJc w:val="left"/>
      <w:lvlText w:val="(%1)"/>
      <w:numFmt w:val="lowerLetter"/>
      <w:start w:val="1"/>
    </w:lvl>
  </w:abstractNum>
  <w:abstractNum w:abstractNumId="77">
    <w:nsid w:val="52D7B105"/>
    <w:multiLevelType w:val="hybridMultilevel"/>
    <w:lvl w:ilvl="0">
      <w:lvlJc w:val="left"/>
      <w:lvlText w:val="(%1)"/>
      <w:numFmt w:val="lowerLetter"/>
      <w:start w:val="2"/>
    </w:lvl>
  </w:abstractNum>
  <w:abstractNum w:abstractNumId="78">
    <w:nsid w:val="2E8A6394"/>
    <w:multiLevelType w:val="hybridMultilevel"/>
    <w:lvl w:ilvl="0">
      <w:lvlJc w:val="left"/>
      <w:lvlText w:val="(%1)"/>
      <w:numFmt w:val="lowerLetter"/>
      <w:start w:val="2"/>
    </w:lvl>
    <w:lvl w:ilvl="1">
      <w:lvlJc w:val="left"/>
      <w:lvlText w:val="(%2)"/>
      <w:numFmt w:val="lowerRoman"/>
      <w:start w:val="1"/>
    </w:lvl>
  </w:abstractNum>
  <w:abstractNum w:abstractNumId="79">
    <w:nsid w:val="24E60401"/>
    <w:multiLevelType w:val="hybridMultilevel"/>
    <w:lvl w:ilvl="0">
      <w:lvlJc w:val="left"/>
      <w:lvlText w:val="(%1)"/>
      <w:numFmt w:val="lowerRoman"/>
      <w:start w:val="1"/>
    </w:lvl>
  </w:abstractNum>
  <w:abstractNum w:abstractNumId="80">
    <w:nsid w:val="2A6AD9BE"/>
    <w:multiLevelType w:val="hybridMultilevel"/>
    <w:lvl w:ilvl="0">
      <w:lvlJc w:val="left"/>
      <w:lvlText w:val="(%1)"/>
      <w:numFmt w:val="lowerLetter"/>
      <w:start w:val="3"/>
    </w:lvl>
    <w:lvl w:ilvl="1">
      <w:lvlJc w:val="left"/>
      <w:lvlText w:val="(%2)"/>
      <w:numFmt w:val="lowerRoman"/>
      <w:start w:val="1"/>
    </w:lvl>
  </w:abstractNum>
  <w:abstractNum w:abstractNumId="81">
    <w:nsid w:val="BAAC1B4"/>
    <w:multiLevelType w:val="hybridMultilevel"/>
    <w:lvl w:ilvl="0">
      <w:lvlJc w:val="left"/>
      <w:lvlText w:val="(%1)"/>
      <w:numFmt w:val="lowerLetter"/>
      <w:start w:val="4"/>
    </w:lvl>
  </w:abstractNum>
  <w:abstractNum w:abstractNumId="82">
    <w:nsid w:val="36B2ACBC"/>
    <w:multiLevelType w:val="hybridMultilevel"/>
    <w:lvl w:ilvl="0">
      <w:lvlJc w:val="left"/>
      <w:lvlText w:val="(%1)"/>
      <w:numFmt w:val="lowerRoman"/>
      <w:start w:val="1"/>
    </w:lvl>
  </w:abstractNum>
  <w:abstractNum w:abstractNumId="83">
    <w:nsid w:val="779D8544"/>
    <w:multiLevelType w:val="hybridMultilevel"/>
    <w:lvl w:ilvl="0">
      <w:lvlJc w:val="left"/>
      <w:lvlText w:val="(%1)"/>
      <w:numFmt w:val="lowerRoman"/>
      <w:start w:val="3"/>
    </w:lvl>
  </w:abstractNum>
  <w:abstractNum w:abstractNumId="84">
    <w:nsid w:val="4AB26E78"/>
    <w:multiLevelType w:val="hybridMultilevel"/>
    <w:lvl w:ilvl="0">
      <w:lvlJc w:val="left"/>
      <w:lvlText w:val="(%1)"/>
      <w:numFmt w:val="lowerLetter"/>
      <w:start w:val="2"/>
    </w:lvl>
  </w:abstractNum>
  <w:abstractNum w:abstractNumId="85">
    <w:nsid w:val="21FAA2FA"/>
    <w:multiLevelType w:val="hybridMultilevel"/>
    <w:lvl w:ilvl="0">
      <w:lvlJc w:val="left"/>
      <w:lvlText w:val="(%1)"/>
      <w:numFmt w:val="lowerLetter"/>
      <w:start w:val="1"/>
    </w:lvl>
  </w:abstractNum>
  <w:abstractNum w:abstractNumId="86">
    <w:nsid w:val="5451CF49"/>
    <w:multiLevelType w:val="hybridMultilevel"/>
    <w:lvl w:ilvl="0">
      <w:lvlJc w:val="left"/>
      <w:lvlText w:val="(%1)"/>
      <w:numFmt w:val="decimal"/>
      <w:start w:val="1"/>
    </w:lvl>
    <w:lvl w:ilvl="1">
      <w:lvlJc w:val="left"/>
      <w:lvlText w:val="(%2)"/>
      <w:numFmt w:val="upperLetter"/>
      <w:start w:val="1"/>
    </w:lvl>
  </w:abstractNum>
  <w:abstractNum w:abstractNumId="87">
    <w:nsid w:val="6181EF69"/>
    <w:multiLevelType w:val="hybridMultilevel"/>
    <w:lvl w:ilvl="0">
      <w:lvlJc w:val="left"/>
      <w:lvlText w:val="(%1)"/>
      <w:numFmt w:val="upperLetter"/>
      <w:start w:val="3"/>
    </w:lvl>
  </w:abstractNum>
  <w:abstractNum w:abstractNumId="88">
    <w:nsid w:val="3E6400E6"/>
    <w:multiLevelType w:val="hybridMultilevel"/>
    <w:lvl w:ilvl="0">
      <w:lvlJc w:val="left"/>
      <w:lvlText w:val="1"/>
      <w:numFmt w:val="bullet"/>
      <w:start w:val="1"/>
    </w:lvl>
  </w:abstractNum>
  <w:abstractNum w:abstractNumId="89">
    <w:nsid w:val="14217E23"/>
    <w:multiLevelType w:val="hybridMultilevel"/>
    <w:lvl w:ilvl="0">
      <w:lvlJc w:val="left"/>
      <w:lvlText w:val="2"/>
      <w:numFmt w:val="bullet"/>
      <w:start w:val="1"/>
    </w:lvl>
  </w:abstractNum>
  <w:abstractNum w:abstractNumId="90">
    <w:nsid w:val="710757D0"/>
    <w:multiLevelType w:val="hybridMultilevel"/>
    <w:lvl w:ilvl="0">
      <w:lvlJc w:val="left"/>
      <w:lvlText w:val="3"/>
      <w:numFmt w:val="bullet"/>
      <w:start w:val="1"/>
    </w:lvl>
  </w:abstractNum>
  <w:abstractNum w:abstractNumId="91">
    <w:nsid w:val="5015CD1A"/>
    <w:multiLevelType w:val="hybridMultilevel"/>
    <w:lvl w:ilvl="0">
      <w:lvlJc w:val="left"/>
      <w:lvlText w:val="4"/>
      <w:numFmt w:val="bullet"/>
      <w:start w:val="1"/>
    </w:lvl>
  </w:abstractNum>
  <w:abstractNum w:abstractNumId="92">
    <w:nsid w:val="424479DA"/>
    <w:multiLevelType w:val="hybridMultilevel"/>
    <w:lvl w:ilvl="0">
      <w:lvlJc w:val="left"/>
      <w:lvlText w:val="5"/>
      <w:numFmt w:val="bullet"/>
      <w:start w:val="1"/>
    </w:lvl>
  </w:abstractNum>
  <w:abstractNum w:abstractNumId="93">
    <w:nsid w:val="1A9A9E69"/>
    <w:multiLevelType w:val="hybridMultilevel"/>
    <w:lvl w:ilvl="0">
      <w:lvlJc w:val="left"/>
      <w:lvlText w:val="6"/>
      <w:numFmt w:val="bullet"/>
      <w:start w:val="1"/>
    </w:lvl>
  </w:abstractNum>
  <w:abstractNum w:abstractNumId="94">
    <w:nsid w:val="475E256A"/>
    <w:multiLevelType w:val="hybridMultilevel"/>
    <w:lvl w:ilvl="0">
      <w:lvlJc w:val="left"/>
      <w:lvlText w:val="☐"/>
      <w:numFmt w:val="bullet"/>
      <w:start w:val="1"/>
    </w:lvl>
  </w:abstractNum>
  <w:abstractNum w:abstractNumId="95">
    <w:nsid w:val="368DB37E"/>
    <w:multiLevelType w:val="hybridMultilevel"/>
    <w:lvl w:ilvl="0">
      <w:lvlJc w:val="left"/>
      <w:lvlText w:val="(%1)"/>
      <w:numFmt w:val="lowerLetter"/>
      <w:start w:val="1"/>
    </w:lvl>
  </w:abstractNum>
  <w:abstractNum w:abstractNumId="96">
    <w:nsid w:val="6A3B714C"/>
    <w:multiLevelType w:val="hybridMultilevel"/>
    <w:lvl w:ilvl="0">
      <w:lvlJc w:val="left"/>
      <w:lvlText w:val="(%1)"/>
      <w:numFmt w:val="lowerLetter"/>
      <w:start w:val="1"/>
    </w:lvl>
  </w:abstractNum>
  <w:abstractNum w:abstractNumId="97">
    <w:nsid w:val="327B517E"/>
    <w:multiLevelType w:val="hybridMultilevel"/>
    <w:lvl w:ilvl="0">
      <w:lvlJc w:val="left"/>
      <w:lvlText w:val="(%1)"/>
      <w:numFmt w:val="lowerLetter"/>
      <w:start w:val="1"/>
    </w:lvl>
  </w:abstractNum>
  <w:abstractNum w:abstractNumId="98">
    <w:nsid w:val="1F461B51"/>
    <w:multiLevelType w:val="hybridMultilevel"/>
    <w:lvl w:ilvl="0">
      <w:lvlJc w:val="left"/>
      <w:lvlText w:val="(%1)"/>
      <w:numFmt w:val="lowerRoman"/>
      <w:start w:val="2"/>
    </w:lvl>
  </w:abstractNum>
  <w:abstractNum w:abstractNumId="99">
    <w:nsid w:val="29BACF25"/>
    <w:multiLevelType w:val="hybridMultilevel"/>
    <w:lvl w:ilvl="0">
      <w:lvlJc w:val="left"/>
      <w:lvlText w:val="(%1)"/>
      <w:numFmt w:val="lowerLetter"/>
      <w:start w:val="1"/>
    </w:lvl>
  </w:abstractNum>
  <w:abstractNum w:abstractNumId="100">
    <w:nsid w:val="5D5BABB3"/>
    <w:multiLevelType w:val="hybridMultilevel"/>
    <w:lvl w:ilvl="0">
      <w:lvlJc w:val="left"/>
      <w:lvlText w:val="(%1)"/>
      <w:numFmt w:val="lowerLetter"/>
      <w:start w:val="3"/>
    </w:lvl>
  </w:abstractNum>
  <w:abstractNum w:abstractNumId="101">
    <w:nsid w:val="51BF6B48"/>
    <w:multiLevelType w:val="hybridMultilevel"/>
    <w:lvl w:ilvl="0">
      <w:lvlJc w:val="left"/>
      <w:lvlText w:val="(%1)"/>
      <w:numFmt w:val="lowerLetter"/>
      <w:start w:val="2"/>
    </w:lvl>
  </w:abstractNum>
  <w:abstractNum w:abstractNumId="102">
    <w:nsid w:val="7E0F6384"/>
    <w:multiLevelType w:val="hybridMultilevel"/>
    <w:lvl w:ilvl="0">
      <w:lvlJc w:val="left"/>
      <w:lvlText w:val="(%1)"/>
      <w:numFmt w:val="lowerLetter"/>
      <w:start w:val="3"/>
    </w:lvl>
    <w:lvl w:ilvl="1">
      <w:lvlJc w:val="left"/>
      <w:lvlText w:val="(%2)"/>
      <w:numFmt w:val="lowerRoman"/>
      <w:start w:val="1"/>
    </w:lvl>
  </w:abstractNum>
  <w:abstractNum w:abstractNumId="103">
    <w:nsid w:val="2B4B8B53"/>
    <w:multiLevelType w:val="hybridMultilevel"/>
    <w:lvl w:ilvl="0">
      <w:lvlJc w:val="left"/>
      <w:lvlText w:val="(%1)"/>
      <w:numFmt w:val="lowerLetter"/>
      <w:start w:val="2"/>
    </w:lvl>
  </w:abstractNum>
  <w:abstractNum w:abstractNumId="104">
    <w:nsid w:val="72E3413A"/>
    <w:multiLevelType w:val="hybridMultilevel"/>
    <w:lvl w:ilvl="0">
      <w:lvlJc w:val="left"/>
      <w:lvlText w:val="(%1)"/>
      <w:numFmt w:val="decimal"/>
      <w:start w:val="1"/>
    </w:lvl>
    <w:lvl w:ilvl="1">
      <w:lvlJc w:val="left"/>
      <w:lvlText w:val="(%2)"/>
      <w:numFmt w:val="upperLetter"/>
      <w:start w:val="1"/>
    </w:lvl>
  </w:abstractNum>
  <w:abstractNum w:abstractNumId="105">
    <w:nsid w:val="116AE494"/>
    <w:multiLevelType w:val="hybridMultilevel"/>
    <w:lvl w:ilvl="0">
      <w:lvlJc w:val="left"/>
      <w:lvlText w:val="(%1)"/>
      <w:numFmt w:val="upperLetter"/>
      <w:start w:val="3"/>
    </w:lvl>
  </w:abstractNum>
  <w:abstractNum w:abstractNumId="106">
    <w:nsid w:val="3494B2FB"/>
    <w:multiLevelType w:val="hybridMultilevel"/>
    <w:lvl w:ilvl="0">
      <w:lvlJc w:val="left"/>
      <w:lvlText w:val="(%1)"/>
      <w:numFmt w:val="lowerRoman"/>
      <w:start w:val="2"/>
    </w:lvl>
  </w:abstractNum>
  <w:abstractNum w:abstractNumId="107">
    <w:nsid w:val="B13A31"/>
    <w:multiLevelType w:val="hybridMultilevel"/>
    <w:lvl w:ilvl="0">
      <w:lvlJc w:val="left"/>
      <w:lvlText w:val="(%1)"/>
      <w:numFmt w:val="lowerLetter"/>
      <w:start w:val="4"/>
    </w:lvl>
  </w:abstractNum>
  <w:abstractNum w:abstractNumId="108">
    <w:nsid w:val="64429599"/>
    <w:multiLevelType w:val="hybridMultilevel"/>
    <w:lvl w:ilvl="0">
      <w:lvlJc w:val="left"/>
      <w:lvlText w:val="(%1)"/>
      <w:numFmt w:val="decimal"/>
      <w:start w:val="1"/>
    </w:lvl>
    <w:lvl w:ilvl="1">
      <w:lvlJc w:val="left"/>
      <w:lvlText w:val="(%2)"/>
      <w:numFmt w:val="upperLetter"/>
      <w:start w:val="1"/>
    </w:lvl>
  </w:abstractNum>
  <w:abstractNum w:abstractNumId="109">
    <w:nsid w:val="631F1690"/>
    <w:multiLevelType w:val="hybridMultilevel"/>
    <w:lvl w:ilvl="0">
      <w:lvlJc w:val="left"/>
      <w:lvlText w:val="(%1)"/>
      <w:numFmt w:val="upperLetter"/>
      <w:start w:val="3"/>
    </w:lvl>
  </w:abstractNum>
  <w:abstractNum w:abstractNumId="110">
    <w:nsid w:val="25973E32"/>
    <w:multiLevelType w:val="hybridMultilevel"/>
    <w:lvl w:ilvl="0">
      <w:lvlJc w:val="left"/>
      <w:lvlText w:val="(%1)"/>
      <w:numFmt w:val="lowerLetter"/>
      <w:start w:val="5"/>
    </w:lvl>
  </w:abstractNum>
  <w:abstractNum w:abstractNumId="111">
    <w:nsid w:val="EAD6F57"/>
    <w:multiLevelType w:val="hybridMultilevel"/>
    <w:lvl w:ilvl="0">
      <w:lvlJc w:val="left"/>
      <w:lvlText w:val="(%1)"/>
      <w:numFmt w:val="lowerRoman"/>
      <w:start w:val="10"/>
    </w:lvl>
  </w:abstractNum>
  <w:abstractNum w:abstractNumId="112">
    <w:nsid w:val="6EC9D844"/>
    <w:multiLevelType w:val="hybridMultilevel"/>
    <w:lvl w:ilvl="0">
      <w:lvlJc w:val="left"/>
      <w:lvlText w:val="(%1)"/>
      <w:numFmt w:val="lowerRoman"/>
      <w:start w:val="1"/>
    </w:lvl>
  </w:abstractNum>
  <w:abstractNum w:abstractNumId="113">
    <w:nsid w:val="5C49EAEE"/>
    <w:multiLevelType w:val="hybridMultilevel"/>
    <w:lvl w:ilvl="0">
      <w:lvlJc w:val="left"/>
      <w:lvlText w:val="(%1)"/>
      <w:numFmt w:val="lowerLetter"/>
      <w:start w:val="2"/>
    </w:lvl>
  </w:abstractNum>
  <w:abstractNum w:abstractNumId="114">
    <w:nsid w:val="64AF49B"/>
    <w:multiLevelType w:val="hybridMultilevel"/>
    <w:lvl w:ilvl="0">
      <w:lvlJc w:val="left"/>
      <w:lvlText w:val="(%1)"/>
      <w:numFmt w:val="lowerLetter"/>
      <w:start w:val="3"/>
    </w:lvl>
  </w:abstractNum>
  <w:abstractNum w:abstractNumId="115">
    <w:nsid w:val="397C46BC"/>
    <w:multiLevelType w:val="hybridMultilevel"/>
    <w:lvl w:ilvl="0">
      <w:lvlJc w:val="left"/>
      <w:lvlText w:val="(%1)"/>
      <w:numFmt w:val="lowerLetter"/>
      <w:start w:val="2"/>
    </w:lvl>
  </w:abstractNum>
  <w:abstractNum w:abstractNumId="116">
    <w:nsid w:val="7E448DE9"/>
    <w:multiLevelType w:val="hybridMultilevel"/>
    <w:lvl w:ilvl="0">
      <w:lvlJc w:val="left"/>
      <w:lvlText w:val="(%1)"/>
      <w:numFmt w:val="lowerLetter"/>
      <w:start w:val="3"/>
    </w:lvl>
  </w:abstractNum>
  <w:abstractNum w:abstractNumId="117">
    <w:nsid w:val="5A9CC3E5"/>
    <w:multiLevelType w:val="hybridMultilevel"/>
    <w:lvl w:ilvl="0">
      <w:lvlJc w:val="left"/>
      <w:lvlText w:val="(%1)"/>
      <w:numFmt w:val="lowerLetter"/>
      <w:start w:val="6"/>
    </w:lvl>
  </w:abstractNum>
  <w:abstractNum w:abstractNumId="118">
    <w:nsid w:val="1AFE3625"/>
    <w:multiLevelType w:val="hybridMultilevel"/>
    <w:lvl w:ilvl="0">
      <w:lvlJc w:val="left"/>
      <w:lvlText w:val="(%1)"/>
      <w:numFmt w:val="lowerRoman"/>
      <w:start w:val="1"/>
    </w:lvl>
  </w:abstractNum>
  <w:abstractNum w:abstractNumId="119">
    <w:nsid w:val="3CA88ECF"/>
    <w:multiLevelType w:val="hybridMultilevel"/>
    <w:lvl w:ilvl="0">
      <w:lvlJc w:val="left"/>
      <w:lvlText w:val="%1"/>
      <w:numFmt w:val="lowerLetter"/>
      <w:start w:val="1"/>
    </w:lvl>
    <w:lvl w:ilvl="1">
      <w:lvlJc w:val="left"/>
      <w:lvlText w:val="(%2)"/>
      <w:numFmt w:val="lowerLetter"/>
      <w:start w:val="1"/>
    </w:lvl>
  </w:abstractNum>
  <w:abstractNum w:abstractNumId="120">
    <w:nsid w:val="6EBE4208"/>
    <w:multiLevelType w:val="hybridMultilevel"/>
    <w:lvl w:ilvl="0">
      <w:lvlJc w:val="left"/>
      <w:lvlText w:val="(%1)"/>
      <w:numFmt w:val="lowerLetter"/>
      <w:start w:val="9"/>
    </w:lvl>
    <w:lvl w:ilvl="1">
      <w:lvlJc w:val="left"/>
      <w:lvlText w:val="%2"/>
      <w:numFmt w:val="lowerLetter"/>
      <w:start w:val="1"/>
    </w:lvl>
  </w:abstractNum>
  <w:abstractNum w:abstractNumId="121">
    <w:nsid w:val="C058DF5"/>
    <w:multiLevelType w:val="hybridMultilevel"/>
    <w:lvl w:ilvl="0">
      <w:lvlJc w:val="left"/>
      <w:lvlText w:val="(%1)"/>
      <w:numFmt w:val="lowerLetter"/>
      <w:start w:val="8"/>
    </w:lvl>
  </w:abstractNum>
  <w:abstractNum w:abstractNumId="122">
    <w:nsid w:val="CBE5BE9"/>
    <w:multiLevelType w:val="hybridMultilevel"/>
    <w:lvl w:ilvl="0">
      <w:lvlJc w:val="left"/>
      <w:lvlText w:val="(%1)"/>
      <w:numFmt w:val="lowerLetter"/>
      <w:start w:val="1"/>
    </w:lvl>
  </w:abstractNum>
  <w:abstractNum w:abstractNumId="123">
    <w:nsid w:val="3102BBE2"/>
    <w:multiLevelType w:val="hybridMultilevel"/>
    <w:lvl w:ilvl="0">
      <w:lvlJc w:val="left"/>
      <w:lvlText w:val="(%1)"/>
      <w:numFmt w:val="lowerLetter"/>
      <w:start w:val="1"/>
    </w:lvl>
  </w:abstractNum>
  <w:abstractNum w:abstractNumId="124">
    <w:nsid w:val="26A02C5E"/>
    <w:multiLevelType w:val="hybridMultilevel"/>
    <w:lvl w:ilvl="0">
      <w:lvlJc w:val="left"/>
      <w:lvlText w:val="(%1)"/>
      <w:numFmt w:val="lowerLetter"/>
      <w:start w:val="5"/>
    </w:lvl>
  </w:abstractNum>
  <w:abstractNum w:abstractNumId="125">
    <w:nsid w:val="541C8153"/>
    <w:multiLevelType w:val="hybridMultilevel"/>
    <w:lvl w:ilvl="0">
      <w:lvlJc w:val="left"/>
      <w:lvlText w:val="(%1)"/>
      <w:numFmt w:val="lowerLetter"/>
      <w:start w:val="1"/>
    </w:lvl>
    <w:lvl w:ilvl="1">
      <w:lvlJc w:val="left"/>
      <w:lvlText w:val="(%2)"/>
      <w:numFmt w:val="lowerRoman"/>
      <w:start w:val="1"/>
    </w:lvl>
  </w:abstractNum>
  <w:abstractNum w:abstractNumId="126">
    <w:nsid w:val="67906F60"/>
    <w:multiLevelType w:val="hybridMultilevel"/>
    <w:lvl w:ilvl="0">
      <w:lvlJc w:val="left"/>
      <w:lvlText w:val="(%1)"/>
      <w:numFmt w:val="lowerLetter"/>
      <w:start w:val="2"/>
    </w:lvl>
  </w:abstractNum>
  <w:abstractNum w:abstractNumId="127">
    <w:nsid w:val="10DB9DAA"/>
    <w:multiLevelType w:val="hybridMultilevel"/>
    <w:lvl w:ilvl="0">
      <w:lvlJc w:val="left"/>
      <w:lvlText w:val="(%1)"/>
      <w:numFmt w:val="lowerLetter"/>
      <w:start w:val="1"/>
    </w:lvl>
  </w:abstractNum>
  <w:abstractNum w:abstractNumId="128">
    <w:nsid w:val="697D2D2"/>
    <w:multiLevelType w:val="hybridMultilevel"/>
    <w:lvl w:ilvl="0">
      <w:lvlJc w:val="left"/>
      <w:lvlText w:val="(%1)"/>
      <w:numFmt w:val="lowerLetter"/>
      <w:start w:val="10"/>
    </w:lvl>
  </w:abstractNum>
  <w:abstractNum w:abstractNumId="129">
    <w:nsid w:val="6D68AB2"/>
    <w:multiLevelType w:val="hybridMultilevel"/>
    <w:lvl w:ilvl="0">
      <w:lvlJc w:val="left"/>
      <w:lvlText w:val="(%1)"/>
      <w:numFmt w:val="decimal"/>
      <w:start w:val="2"/>
    </w:lvl>
  </w:abstractNum>
  <w:abstractNum w:abstractNumId="130">
    <w:nsid w:val="3A966CD0"/>
    <w:multiLevelType w:val="hybridMultilevel"/>
    <w:lvl w:ilvl="0">
      <w:lvlJc w:val="left"/>
      <w:lvlText w:val="(%1)"/>
      <w:numFmt w:val="lowerLetter"/>
      <w:start w:val="2"/>
    </w:lvl>
    <w:lvl w:ilvl="1">
      <w:lvlJc w:val="left"/>
      <w:lvlText w:val="(%2)"/>
      <w:numFmt w:val="lowerRoman"/>
      <w:start w:val="1"/>
    </w:lvl>
  </w:abstractNum>
  <w:abstractNum w:abstractNumId="131">
    <w:nsid w:val="63F37E85"/>
    <w:multiLevelType w:val="hybridMultilevel"/>
    <w:lvl w:ilvl="0">
      <w:lvlJc w:val="left"/>
      <w:lvlText w:val="(%1)"/>
      <w:numFmt w:val="lowerLetter"/>
      <w:start w:val="3"/>
    </w:lvl>
  </w:abstractNum>
  <w:abstractNum w:abstractNumId="132">
    <w:nsid w:val="5895F5FA"/>
    <w:multiLevelType w:val="hybridMultilevel"/>
    <w:lvl w:ilvl="0">
      <w:lvlJc w:val="left"/>
      <w:lvlText w:val="(%1)"/>
      <w:numFmt w:val="lowerLetter"/>
      <w:start w:val="1"/>
    </w:lvl>
  </w:abstractNum>
  <w:abstractNum w:abstractNumId="133">
    <w:nsid w:val="38A5D054"/>
    <w:multiLevelType w:val="hybridMultilevel"/>
    <w:lvl w:ilvl="0">
      <w:lvlJc w:val="left"/>
      <w:lvlText w:val="(%1)"/>
      <w:numFmt w:val="lowerLetter"/>
      <w:start w:val="1"/>
    </w:lvl>
  </w:abstractNum>
  <w:abstractNum w:abstractNumId="134">
    <w:nsid w:val="F3F09D8"/>
    <w:multiLevelType w:val="hybridMultilevel"/>
    <w:lvl w:ilvl="0">
      <w:lvlJc w:val="left"/>
      <w:lvlText w:val="(%1)"/>
      <w:numFmt w:val="lowerLetter"/>
      <w:start w:val="1"/>
    </w:lvl>
  </w:abstractNum>
  <w:abstractNum w:abstractNumId="135">
    <w:nsid w:val="4B793735"/>
    <w:multiLevelType w:val="hybridMultilevel"/>
    <w:lvl w:ilvl="0">
      <w:lvlJc w:val="left"/>
      <w:lvlText w:val="(%1)"/>
      <w:numFmt w:val="lowerLetter"/>
      <w:start w:val="1"/>
    </w:lvl>
  </w:abstractNum>
  <w:abstractNum w:abstractNumId="136">
    <w:nsid w:val="4A10B4E8"/>
    <w:multiLevelType w:val="hybridMultilevel"/>
    <w:lvl w:ilvl="0">
      <w:lvlJc w:val="left"/>
      <w:lvlText w:val="(%1)"/>
      <w:numFmt w:val="lowerLetter"/>
      <w:start w:val="1"/>
    </w:lvl>
  </w:abstractNum>
  <w:abstractNum w:abstractNumId="137">
    <w:nsid w:val="43D3BCD4"/>
    <w:multiLevelType w:val="hybridMultilevel"/>
    <w:lvl w:ilvl="0">
      <w:lvlJc w:val="left"/>
      <w:lvlText w:val="(%1)"/>
      <w:numFmt w:val="lowerLetter"/>
      <w:start w:val="2"/>
    </w:lvl>
  </w:abstractNum>
  <w:abstractNum w:abstractNumId="138">
    <w:nsid w:val="4C2A7166"/>
    <w:multiLevelType w:val="hybridMultilevel"/>
    <w:lvl w:ilvl="0">
      <w:lvlJc w:val="left"/>
      <w:lvlText w:val="(%1)"/>
      <w:numFmt w:val="lowerRoman"/>
      <w:start w:val="2"/>
    </w:lvl>
    <w:lvl w:ilvl="1">
      <w:lvlJc w:val="left"/>
      <w:lvlText w:val="(%2)"/>
      <w:numFmt w:val="upperLetter"/>
      <w:start w:val="1"/>
    </w:lvl>
  </w:abstractNum>
  <w:abstractNum w:abstractNumId="139">
    <w:nsid w:val="2E534A82"/>
    <w:multiLevelType w:val="hybridMultilevel"/>
    <w:lvl w:ilvl="0">
      <w:lvlJc w:val="left"/>
      <w:lvlText w:val="(%1)"/>
      <w:numFmt w:val="lowerRoman"/>
      <w:start w:val="2"/>
    </w:lvl>
  </w:abstractNum>
  <w:abstractNum w:abstractNumId="140">
    <w:nsid w:val="26F2D364"/>
    <w:multiLevelType w:val="hybridMultilevel"/>
    <w:lvl w:ilvl="0">
      <w:lvlJc w:val="left"/>
      <w:lvlText w:val="(%1)"/>
      <w:numFmt w:val="lowerRoman"/>
      <w:start w:val="3"/>
    </w:lvl>
  </w:abstractNum>
  <w:abstractNum w:abstractNumId="141">
    <w:nsid w:val="71C1AF98"/>
    <w:multiLevelType w:val="hybridMultilevel"/>
    <w:lvl w:ilvl="0">
      <w:lvlJc w:val="left"/>
      <w:lvlText w:val="(%1)"/>
      <w:numFmt w:val="lowerLetter"/>
      <w:start w:val="1"/>
    </w:lvl>
  </w:abstractNum>
  <w:abstractNum w:abstractNumId="142">
    <w:nsid w:val="3D00B9D9"/>
    <w:multiLevelType w:val="hybridMultilevel"/>
    <w:lvl w:ilvl="0">
      <w:lvlJc w:val="left"/>
      <w:lvlText w:val="(%1)"/>
      <w:numFmt w:val="lowerRoman"/>
      <w:start w:val="1"/>
    </w:lvl>
  </w:abstractNum>
  <w:abstractNum w:abstractNumId="143">
    <w:nsid w:val="15BCABA8"/>
    <w:multiLevelType w:val="hybridMultilevel"/>
    <w:lvl w:ilvl="0">
      <w:lvlJc w:val="left"/>
      <w:lvlText w:val="(%1)"/>
      <w:numFmt w:val="lowerLetter"/>
      <w:start w:val="2"/>
    </w:lvl>
  </w:abstractNum>
  <w:abstractNum w:abstractNumId="144">
    <w:nsid w:val="4E0B9A87"/>
    <w:multiLevelType w:val="hybridMultilevel"/>
    <w:lvl w:ilvl="0">
      <w:lvlJc w:val="left"/>
      <w:lvlText w:val="(%1)"/>
      <w:numFmt w:val="lowerLetter"/>
      <w:start w:val="3"/>
    </w:lvl>
  </w:abstractNum>
  <w:abstractNum w:abstractNumId="145">
    <w:nsid w:val="434BAE75"/>
    <w:multiLevelType w:val="hybridMultilevel"/>
    <w:lvl w:ilvl="0">
      <w:lvlJc w:val="left"/>
      <w:lvlText w:val="(%1)"/>
      <w:numFmt w:val="lowerLetter"/>
      <w:start w:val="5"/>
    </w:lvl>
  </w:abstractNum>
  <w:abstractNum w:abstractNumId="146">
    <w:nsid w:val="4F38F265"/>
    <w:multiLevelType w:val="hybridMultilevel"/>
    <w:lvl w:ilvl="0">
      <w:lvlJc w:val="left"/>
      <w:lvlText w:val="(%1)"/>
      <w:numFmt w:val="lowerLetter"/>
      <w:start w:val="8"/>
    </w:lvl>
  </w:abstractNum>
  <w:abstractNum w:abstractNumId="147">
    <w:nsid w:val="4C502870"/>
    <w:multiLevelType w:val="hybridMultilevel"/>
    <w:lvl w:ilvl="0">
      <w:lvlJc w:val="left"/>
      <w:lvlText w:val="(%1)"/>
      <w:numFmt w:val="lowerLetter"/>
      <w:start w:val="2"/>
    </w:lvl>
  </w:abstractNum>
  <w:abstractNum w:abstractNumId="148">
    <w:nsid w:val="1DE8725A"/>
    <w:multiLevelType w:val="hybridMultilevel"/>
    <w:lvl w:ilvl="0">
      <w:lvlJc w:val="left"/>
      <w:lvlText w:val="(%1)"/>
      <w:numFmt w:val="lowerLetter"/>
      <w:start w:val="3"/>
    </w:lvl>
  </w:abstractNum>
  <w:abstractNum w:abstractNumId="149">
    <w:nsid w:val="6A37288A"/>
    <w:multiLevelType w:val="hybridMultilevel"/>
    <w:lvl w:ilvl="0">
      <w:lvlJc w:val="left"/>
      <w:lvlText w:val="(%1)"/>
      <w:numFmt w:val="lowerRoman"/>
      <w:start w:val="1"/>
    </w:lvl>
  </w:abstractNum>
  <w:abstractNum w:abstractNumId="150">
    <w:nsid w:val="8F8B73F"/>
    <w:multiLevelType w:val="hybridMultilevel"/>
    <w:lvl w:ilvl="0">
      <w:lvlJc w:val="left"/>
      <w:lvlText w:val="(%1)"/>
      <w:numFmt w:val="lowerRoman"/>
      <w:start w:val="2"/>
    </w:lvl>
  </w:abstractNum>
  <w:abstractNum w:abstractNumId="151">
    <w:nsid w:val="CA6B462"/>
    <w:multiLevelType w:val="hybridMultilevel"/>
    <w:lvl w:ilvl="0">
      <w:lvlJc w:val="left"/>
      <w:lvlText w:val="(%1)"/>
      <w:numFmt w:val="lowerLetter"/>
      <w:start w:val="6"/>
    </w:lvl>
  </w:abstractNum>
  <w:abstractNum w:abstractNumId="152">
    <w:nsid w:val="763CB680"/>
    <w:multiLevelType w:val="hybridMultilevel"/>
    <w:lvl w:ilvl="0">
      <w:lvlJc w:val="left"/>
      <w:lvlText w:val="(%1)"/>
      <w:numFmt w:val="lowerLetter"/>
      <w:start w:val="1"/>
    </w:lvl>
  </w:abstractNum>
  <w:abstractNum w:abstractNumId="153">
    <w:nsid w:val="15B71329"/>
    <w:multiLevelType w:val="hybridMultilevel"/>
    <w:lvl w:ilvl="0">
      <w:lvlJc w:val="left"/>
      <w:lvlText w:val="(%1)"/>
      <w:numFmt w:val="lowerLetter"/>
      <w:start w:val="2"/>
    </w:lvl>
  </w:abstractNum>
  <w:abstractNum w:abstractNumId="154">
    <w:nsid w:val="3DA97044"/>
    <w:multiLevelType w:val="hybridMultilevel"/>
    <w:lvl w:ilvl="0">
      <w:lvlJc w:val="left"/>
      <w:lvlText w:val="Y"/>
      <w:numFmt w:val="bullet"/>
      <w:start w:val="1"/>
    </w:lvl>
  </w:abstractNum>
  <w:abstractNum w:abstractNumId="155">
    <w:nsid w:val="1CDCE2DE"/>
    <w:multiLevelType w:val="hybridMultilevel"/>
    <w:lvl w:ilvl="0">
      <w:lvlJc w:val="left"/>
      <w:lvlText w:val="%1"/>
      <w:numFmt w:val="lowerLetter"/>
      <w:start w:val="1"/>
    </w:lvl>
    <w:lvl w:ilvl="1">
      <w:lvlJc w:val="left"/>
      <w:lvlText w:val="(%2)"/>
      <w:numFmt w:val="lowerLetter"/>
      <w:start w:val="3"/>
    </w:lvl>
  </w:abstractNum>
  <w:abstractNum w:abstractNumId="156">
    <w:nsid w:val="69D3947C"/>
    <w:multiLevelType w:val="hybridMultilevel"/>
    <w:lvl w:ilvl="0">
      <w:lvlJc w:val="left"/>
      <w:lvlText w:val="(%1)"/>
      <w:numFmt w:val="lowerLetter"/>
      <w:start w:val="9"/>
    </w:lvl>
    <w:lvl w:ilvl="1">
      <w:lvlJc w:val="left"/>
      <w:lvlText w:val="%2"/>
      <w:numFmt w:val="lowerLetter"/>
      <w:start w:val="1"/>
    </w:lvl>
  </w:abstractNum>
  <w:abstractNum w:abstractNumId="157">
    <w:nsid w:val="2539DFA5"/>
    <w:multiLevelType w:val="hybridMultilevel"/>
    <w:lvl w:ilvl="0">
      <w:lvlJc w:val="left"/>
      <w:lvlText w:val="(%1)"/>
      <w:numFmt w:val="upperLetter"/>
      <w:start w:val="1"/>
    </w:lvl>
  </w:abstractNum>
  <w:abstractNum w:abstractNumId="158">
    <w:nsid w:val="2DB88089"/>
    <w:multiLevelType w:val="hybridMultilevel"/>
    <w:lvl w:ilvl="0">
      <w:lvlJc w:val="left"/>
      <w:lvlText w:val="(%1)"/>
      <w:numFmt w:val="lowerLetter"/>
      <w:start w:val="4"/>
    </w:lvl>
  </w:abstractNum>
  <w:abstractNum w:abstractNumId="159">
    <w:nsid w:val="706B674E"/>
    <w:multiLevelType w:val="hybridMultilevel"/>
    <w:lvl w:ilvl="0">
      <w:lvlJc w:val="left"/>
      <w:lvlText w:val="C"/>
      <w:numFmt w:val="bullet"/>
      <w:start w:val="1"/>
    </w:lvl>
  </w:abstractNum>
  <w:abstractNum w:abstractNumId="160">
    <w:nsid w:val="2C106A57"/>
    <w:multiLevelType w:val="hybridMultilevel"/>
    <w:lvl w:ilvl="0">
      <w:lvlJc w:val="left"/>
      <w:lvlText w:val="(%1)"/>
      <w:numFmt w:val="lowerLetter"/>
      <w:start w:val="5"/>
    </w:lvl>
  </w:abstractNum>
  <w:abstractNum w:abstractNumId="161">
    <w:nsid w:val="684EED59"/>
    <w:multiLevelType w:val="hybridMultilevel"/>
    <w:lvl w:ilvl="0">
      <w:lvlJc w:val="left"/>
      <w:lvlText w:val="(%1)"/>
      <w:numFmt w:val="lowerLetter"/>
      <w:start w:val="6"/>
    </w:lvl>
  </w:abstractNum>
  <w:abstractNum w:abstractNumId="162">
    <w:nsid w:val="545EE5D3"/>
    <w:multiLevelType w:val="hybridMultilevel"/>
    <w:lvl w:ilvl="0">
      <w:lvlJc w:val="left"/>
      <w:lvlText w:val="(%1)"/>
      <w:numFmt w:val="lowerLetter"/>
      <w:start w:val="8"/>
    </w:lvl>
    <w:lvl w:ilvl="1">
      <w:lvlJc w:val="left"/>
      <w:lvlText w:val="(%2)"/>
      <w:numFmt w:val="lowerRoman"/>
      <w:start w:val="1"/>
    </w:lvl>
  </w:abstractNum>
  <w:abstractNum w:abstractNumId="163">
    <w:nsid w:val="4A66051"/>
    <w:multiLevelType w:val="hybridMultilevel"/>
    <w:lvl w:ilvl="0">
      <w:lvlJc w:val="left"/>
      <w:lvlText w:val="(%1)"/>
      <w:numFmt w:val="lowerLetter"/>
      <w:start w:val="11"/>
    </w:lvl>
  </w:abstractNum>
  <w:abstractNum w:abstractNumId="164">
    <w:nsid w:val="20F4BDAD"/>
    <w:multiLevelType w:val="hybridMultilevel"/>
    <w:lvl w:ilvl="0">
      <w:lvlJc w:val="left"/>
      <w:lvlText w:val="(%1)"/>
      <w:numFmt w:val="lowerLetter"/>
      <w:start w:val="1"/>
    </w:lvl>
    <w:lvl w:ilvl="1">
      <w:lvlJc w:val="left"/>
      <w:lvlText w:val="(%2)"/>
      <w:numFmt w:val="lowerRoman"/>
      <w:start w:val="1"/>
    </w:lvl>
  </w:abstractNum>
  <w:abstractNum w:abstractNumId="165">
    <w:nsid w:val="639DEFAC"/>
    <w:multiLevelType w:val="hybridMultilevel"/>
    <w:lvl w:ilvl="0">
      <w:lvlJc w:val="left"/>
      <w:lvlText w:val="(%1)"/>
      <w:numFmt w:val="lowerLetter"/>
      <w:start w:val="2"/>
    </w:lvl>
  </w:abstractNum>
  <w:abstractNum w:abstractNumId="166">
    <w:nsid w:val="501F9786"/>
    <w:multiLevelType w:val="hybridMultilevel"/>
    <w:lvl w:ilvl="0">
      <w:lvlJc w:val="left"/>
      <w:lvlText w:val="(%1)"/>
      <w:numFmt w:val="lowerLetter"/>
      <w:start w:val="4"/>
    </w:lvl>
  </w:abstractNum>
  <w:abstractNum w:abstractNumId="167">
    <w:nsid w:val="6B057295"/>
    <w:multiLevelType w:val="hybridMultilevel"/>
    <w:lvl w:ilvl="0">
      <w:lvlJc w:val="left"/>
      <w:lvlText w:val="(%1)"/>
      <w:numFmt w:val="lowerLetter"/>
      <w:start w:val="2"/>
    </w:lvl>
  </w:abstractNum>
  <w:abstractNum w:abstractNumId="168">
    <w:nsid w:val="2771AC80"/>
    <w:multiLevelType w:val="hybridMultilevel"/>
    <w:lvl w:ilvl="0">
      <w:lvlJc w:val="left"/>
      <w:lvlText w:val="(%1)"/>
      <w:numFmt w:val="lowerLetter"/>
      <w:start w:val="1"/>
    </w:lvl>
  </w:abstractNum>
  <w:abstractNum w:abstractNumId="169">
    <w:nsid w:val="1C4A08EC"/>
    <w:multiLevelType w:val="hybridMultilevel"/>
    <w:lvl w:ilvl="0">
      <w:lvlJc w:val="left"/>
      <w:lvlText w:val="(%1)"/>
      <w:numFmt w:val="lowerLetter"/>
      <w:start w:val="2"/>
    </w:lvl>
  </w:abstractNum>
  <w:abstractNum w:abstractNumId="170">
    <w:nsid w:val="1958BD17"/>
    <w:multiLevelType w:val="hybridMultilevel"/>
    <w:lvl w:ilvl="0">
      <w:lvlJc w:val="left"/>
      <w:lvlText w:val="(%1)"/>
      <w:numFmt w:val="lowerLetter"/>
      <w:start w:val="2"/>
    </w:lvl>
    <w:lvl w:ilvl="1">
      <w:lvlJc w:val="left"/>
      <w:lvlText w:val="(%2)"/>
      <w:numFmt w:val="lowerRoman"/>
      <w:start w:val="1"/>
    </w:lvl>
  </w:abstractNum>
  <w:abstractNum w:abstractNumId="171">
    <w:nsid w:val="4E647FE4"/>
    <w:multiLevelType w:val="hybridMultilevel"/>
    <w:lvl w:ilvl="0">
      <w:lvlJc w:val="left"/>
      <w:lvlText w:val="(%1)"/>
      <w:numFmt w:val="lowerRoman"/>
      <w:start w:val="1"/>
    </w:lvl>
  </w:abstractNum>
  <w:abstractNum w:abstractNumId="172">
    <w:nsid w:val="E0BB885"/>
    <w:multiLevelType w:val="hybridMultilevel"/>
    <w:lvl w:ilvl="0">
      <w:lvlJc w:val="left"/>
      <w:lvlText w:val="(%1)"/>
      <w:numFmt w:val="lowerLetter"/>
      <w:start w:val="3"/>
    </w:lvl>
    <w:lvl w:ilvl="1">
      <w:lvlJc w:val="left"/>
      <w:lvlText w:val="(%2)"/>
      <w:numFmt w:val="lowerRoman"/>
      <w:start w:val="1"/>
    </w:lvl>
  </w:abstractNum>
  <w:abstractNum w:abstractNumId="173">
    <w:nsid w:val="565976F1"/>
    <w:multiLevelType w:val="hybridMultilevel"/>
    <w:lvl w:ilvl="0">
      <w:lvlJc w:val="left"/>
      <w:lvlText w:val="(%1)"/>
      <w:numFmt w:val="lowerLetter"/>
      <w:start w:val="4"/>
    </w:lvl>
  </w:abstractNum>
  <w:abstractNum w:abstractNumId="174">
    <w:nsid w:val="64212B8C"/>
    <w:multiLevelType w:val="hybridMultilevel"/>
    <w:lvl w:ilvl="0">
      <w:lvlJc w:val="left"/>
      <w:lvlText w:val="(%1)"/>
      <w:numFmt w:val="lowerRoman"/>
      <w:start w:val="1"/>
    </w:lvl>
  </w:abstractNum>
  <w:abstractNum w:abstractNumId="175">
    <w:nsid w:val="5C17530C"/>
    <w:multiLevelType w:val="hybridMultilevel"/>
    <w:lvl w:ilvl="0">
      <w:lvlJc w:val="left"/>
      <w:lvlText w:val="(%1)"/>
      <w:numFmt w:val="lowerRoman"/>
      <w:start w:val="3"/>
    </w:lvl>
  </w:abstractNum>
  <w:abstractNum w:abstractNumId="176">
    <w:nsid w:val="19A52566"/>
    <w:multiLevelType w:val="hybridMultilevel"/>
    <w:lvl w:ilvl="0">
      <w:lvlJc w:val="left"/>
      <w:lvlText w:val="(%1)"/>
      <w:numFmt w:val="lowerLetter"/>
      <w:start w:val="2"/>
    </w:lvl>
  </w:abstractNum>
  <w:abstractNum w:abstractNumId="177">
    <w:nsid w:val="335A1DF1"/>
    <w:multiLevelType w:val="hybridMultilevel"/>
    <w:lvl w:ilvl="0">
      <w:lvlJc w:val="left"/>
      <w:lvlText w:val="(%1)"/>
      <w:numFmt w:val="lowerLetter"/>
      <w:start w:val="1"/>
    </w:lvl>
  </w:abstractNum>
  <w:abstractNum w:abstractNumId="178">
    <w:nsid w:val="28677B7C"/>
    <w:multiLevelType w:val="hybridMultilevel"/>
    <w:lvl w:ilvl="0">
      <w:lvlJc w:val="left"/>
      <w:lvlText w:val="(%1)"/>
      <w:numFmt w:val="decimal"/>
      <w:start w:val="1"/>
    </w:lvl>
    <w:lvl w:ilvl="1">
      <w:lvlJc w:val="left"/>
      <w:lvlText w:val="(%2)"/>
      <w:numFmt w:val="upperLetter"/>
      <w:start w:val="1"/>
    </w:lvl>
  </w:abstractNum>
  <w:abstractNum w:abstractNumId="179">
    <w:nsid w:val="378D97C0"/>
    <w:multiLevelType w:val="hybridMultilevel"/>
    <w:lvl w:ilvl="0">
      <w:lvlJc w:val="left"/>
      <w:lvlText w:val="(%1)"/>
      <w:numFmt w:val="upperLetter"/>
      <w:start w:val="3"/>
    </w:lvl>
  </w:abstractNum>
  <w:abstractNum w:abstractNumId="180">
    <w:nsid w:val="1D91467C"/>
    <w:multiLevelType w:val="hybridMultilevel"/>
    <w:lvl w:ilvl="0">
      <w:lvlJc w:val="left"/>
      <w:lvlText w:val="1"/>
      <w:numFmt w:val="bullet"/>
      <w:start w:val="1"/>
    </w:lvl>
  </w:abstractNum>
  <w:abstractNum w:abstractNumId="181">
    <w:nsid w:val="316032BB"/>
    <w:multiLevelType w:val="hybridMultilevel"/>
    <w:lvl w:ilvl="0">
      <w:lvlJc w:val="left"/>
      <w:lvlText w:val="2"/>
      <w:numFmt w:val="bullet"/>
      <w:start w:val="1"/>
    </w:lvl>
  </w:abstractNum>
  <w:abstractNum w:abstractNumId="182">
    <w:nsid w:val="44344C22"/>
    <w:multiLevelType w:val="hybridMultilevel"/>
    <w:lvl w:ilvl="0">
      <w:lvlJc w:val="left"/>
      <w:lvlText w:val="3"/>
      <w:numFmt w:val="bullet"/>
      <w:start w:val="1"/>
    </w:lvl>
  </w:abstractNum>
  <w:abstractNum w:abstractNumId="183">
    <w:nsid w:val="13CDFCFC"/>
    <w:multiLevelType w:val="hybridMultilevel"/>
    <w:lvl w:ilvl="0">
      <w:lvlJc w:val="left"/>
      <w:lvlText w:val="4"/>
      <w:numFmt w:val="bullet"/>
      <w:start w:val="1"/>
    </w:lvl>
  </w:abstractNum>
  <w:abstractNum w:abstractNumId="184">
    <w:nsid w:val="471745E4"/>
    <w:multiLevelType w:val="hybridMultilevel"/>
    <w:lvl w:ilvl="0">
      <w:lvlJc w:val="left"/>
      <w:lvlText w:val="5"/>
      <w:numFmt w:val="bullet"/>
      <w:start w:val="1"/>
    </w:lvl>
  </w:abstractNum>
  <w:abstractNum w:abstractNumId="185">
    <w:nsid w:val="1DDBC66"/>
    <w:multiLevelType w:val="hybridMultilevel"/>
    <w:lvl w:ilvl="0">
      <w:lvlJc w:val="left"/>
      <w:lvlText w:val="6"/>
      <w:numFmt w:val="bullet"/>
      <w:start w:val="1"/>
    </w:lvl>
  </w:abstractNum>
  <w:abstractNum w:abstractNumId="186">
    <w:nsid w:val="30AADFDA"/>
    <w:multiLevelType w:val="hybridMultilevel"/>
    <w:lvl w:ilvl="0">
      <w:lvlJc w:val="left"/>
      <w:lvlText w:val="1"/>
      <w:numFmt w:val="bullet"/>
      <w:start w:val="1"/>
    </w:lvl>
  </w:abstractNum>
  <w:abstractNum w:abstractNumId="187">
    <w:nsid w:val="30EADA61"/>
    <w:multiLevelType w:val="hybridMultilevel"/>
    <w:lvl w:ilvl="0">
      <w:lvlJc w:val="left"/>
      <w:lvlText w:val="2"/>
      <w:numFmt w:val="bullet"/>
      <w:start w:val="1"/>
    </w:lvl>
  </w:abstractNum>
  <w:abstractNum w:abstractNumId="188">
    <w:nsid w:val="27179C0B"/>
    <w:multiLevelType w:val="hybridMultilevel"/>
    <w:lvl w:ilvl="0">
      <w:lvlJc w:val="left"/>
      <w:lvlText w:val="3"/>
      <w:numFmt w:val="bullet"/>
      <w:start w:val="1"/>
    </w:lvl>
  </w:abstractNum>
  <w:abstractNum w:abstractNumId="189">
    <w:nsid w:val="5E636063"/>
    <w:multiLevelType w:val="hybridMultilevel"/>
    <w:lvl w:ilvl="0">
      <w:lvlJc w:val="left"/>
      <w:lvlText w:val="4"/>
      <w:numFmt w:val="bullet"/>
      <w:start w:val="1"/>
    </w:lvl>
  </w:abstractNum>
  <w:abstractNum w:abstractNumId="190">
    <w:nsid w:val="215641AF"/>
    <w:multiLevelType w:val="hybridMultilevel"/>
    <w:lvl w:ilvl="0">
      <w:lvlJc w:val="left"/>
      <w:lvlText w:val="5"/>
      <w:numFmt w:val="bullet"/>
      <w:start w:val="1"/>
    </w:lvl>
  </w:abstractNum>
  <w:abstractNum w:abstractNumId="191">
    <w:nsid w:val="53280662"/>
    <w:multiLevelType w:val="hybridMultilevel"/>
    <w:lvl w:ilvl="0">
      <w:lvlJc w:val="left"/>
      <w:lvlText w:val="6"/>
      <w:numFmt w:val="bullet"/>
      <w:start w:val="1"/>
    </w:lvl>
  </w:abstractNum>
  <w:abstractNum w:abstractNumId="192">
    <w:nsid w:val="46B24DBC"/>
    <w:multiLevelType w:val="hybridMultilevel"/>
    <w:lvl w:ilvl="0">
      <w:lvlJc w:val="left"/>
      <w:lvlText w:val="%1."/>
      <w:numFmt w:val="decimal"/>
      <w:start w:val="1"/>
    </w:lvl>
  </w:abstractNum>
  <w:abstractNum w:abstractNumId="193">
    <w:nsid w:val="75B52783"/>
    <w:multiLevelType w:val="hybridMultilevel"/>
    <w:lvl w:ilvl="0">
      <w:lvlJc w:val="left"/>
      <w:lvlText w:val="7"/>
      <w:numFmt w:val="bullet"/>
      <w:start w:val="1"/>
    </w:lvl>
  </w:abstractNum>
  <w:abstractNum w:abstractNumId="194">
    <w:nsid w:val="57CE66B4"/>
    <w:multiLevelType w:val="hybridMultilevel"/>
    <w:lvl w:ilvl="0">
      <w:lvlJc w:val="left"/>
      <w:lvlText w:val="8"/>
      <w:numFmt w:val="bullet"/>
      <w:start w:val="1"/>
    </w:lvl>
  </w:abstractNum>
  <w:abstractNum w:abstractNumId="195">
    <w:nsid w:val="67A70B69"/>
    <w:multiLevelType w:val="hybridMultilevel"/>
    <w:lvl w:ilvl="0">
      <w:lvlJc w:val="left"/>
      <w:lvlText w:val="9"/>
      <w:numFmt w:val="bullet"/>
      <w:start w:val="1"/>
    </w:lvl>
  </w:abstractNum>
  <w:abstractNum w:abstractNumId="196">
    <w:nsid w:val="5953172F"/>
    <w:multiLevelType w:val="hybridMultilevel"/>
    <w:lvl w:ilvl="0">
      <w:lvlJc w:val="left"/>
      <w:lvlText w:val="%1"/>
      <w:numFmt w:val="decimal"/>
      <w:start w:val="10"/>
    </w:lvl>
  </w:abstractNum>
  <w:abstractNum w:abstractNumId="197">
    <w:nsid w:val="27EDFE3A"/>
    <w:multiLevelType w:val="hybridMultilevel"/>
    <w:lvl w:ilvl="0">
      <w:lvlJc w:val="left"/>
      <w:lvlText w:val="%1"/>
      <w:numFmt w:val="decimal"/>
      <w:start w:val="16"/>
    </w:lvl>
  </w:abstractNum>
  <w:abstractNum w:abstractNumId="198">
    <w:nsid w:val="52AC7DFF"/>
    <w:multiLevelType w:val="hybridMultilevel"/>
    <w:lvl w:ilvl="0">
      <w:lvlJc w:val="left"/>
      <w:lvlText w:val="(%1)"/>
      <w:numFmt w:val="lowerLetter"/>
      <w:start w:val="25"/>
    </w:lvl>
  </w:abstractNum>
  <w:abstractNum w:abstractNumId="199">
    <w:nsid w:val="C4C3AF"/>
    <w:multiLevelType w:val="hybridMultilevel"/>
    <w:lvl w:ilvl="0">
      <w:lvlJc w:val="left"/>
      <w:lvlText w:val="(%1)"/>
      <w:numFmt w:val="lowerRoman"/>
      <w:start w:val="10"/>
    </w:lvl>
  </w:abstractNum>
  <w:abstractNum w:abstractNumId="200">
    <w:nsid w:val="44380727"/>
    <w:multiLevelType w:val="hybridMultilevel"/>
    <w:lvl w:ilvl="0">
      <w:lvlJc w:val="left"/>
      <w:lvlText w:val="%1."/>
      <w:numFmt w:val="decimal"/>
      <w:start w:val="5"/>
    </w:lvl>
    <w:lvl w:ilvl="1">
      <w:lvlJc w:val="left"/>
      <w:lvlText w:val="(%2)"/>
      <w:numFmt w:val="lowerLetter"/>
      <w:start w:val="1"/>
    </w:lvl>
  </w:abstractNum>
  <w:abstractNum w:abstractNumId="201">
    <w:nsid w:val="6C053B16"/>
    <w:multiLevelType w:val="hybridMultilevel"/>
    <w:lvl w:ilvl="0">
      <w:lvlJc w:val="left"/>
      <w:lvlText w:val="(%1)"/>
      <w:numFmt w:val="lowerLetter"/>
      <w:start w:val="2"/>
    </w:lvl>
  </w:abstractNum>
  <w:abstractNum w:abstractNumId="202">
    <w:nsid w:val="4F294393"/>
    <w:multiLevelType w:val="hybridMultilevel"/>
    <w:lvl w:ilvl="0">
      <w:lvlJc w:val="left"/>
      <w:lvlText w:val="%1."/>
      <w:numFmt w:val="decimal"/>
      <w:start w:val="6"/>
    </w:lvl>
    <w:lvl w:ilvl="1">
      <w:lvlJc w:val="left"/>
      <w:lvlText w:val="(%2)"/>
      <w:numFmt w:val="lowerLetter"/>
      <w:start w:val="1"/>
    </w:lvl>
  </w:abstractNum>
  <w:abstractNum w:abstractNumId="203">
    <w:nsid w:val="5243BFAC"/>
    <w:multiLevelType w:val="hybridMultilevel"/>
    <w:lvl w:ilvl="0">
      <w:lvlJc w:val="left"/>
      <w:lvlText w:val="(%1)"/>
      <w:numFmt w:val="lowerLetter"/>
      <w:start w:val="2"/>
    </w:lvl>
  </w:abstractNum>
  <w:abstractNum w:abstractNumId="204">
    <w:nsid w:val="425EB207"/>
    <w:multiLevelType w:val="hybridMultilevel"/>
    <w:lvl w:ilvl="0">
      <w:lvlJc w:val="left"/>
      <w:lvlText w:val="%1."/>
      <w:numFmt w:val="decimal"/>
      <w:start w:val="8"/>
    </w:lvl>
    <w:lvl w:ilvl="1">
      <w:lvlJc w:val="left"/>
      <w:lvlText w:val="(%2)"/>
      <w:numFmt w:val="lowerLetter"/>
      <w:start w:val="1"/>
    </w:lvl>
  </w:abstractNum>
  <w:abstractNum w:abstractNumId="205">
    <w:nsid w:val="334A6F1F"/>
    <w:multiLevelType w:val="hybridMultilevel"/>
    <w:lvl w:ilvl="0">
      <w:lvlJc w:val="left"/>
      <w:lvlText w:val="%1"/>
      <w:numFmt w:val="decimal"/>
      <w:start w:val="1"/>
    </w:lvl>
    <w:lvl w:ilvl="1">
      <w:lvlJc w:val="left"/>
      <w:lvlText w:val="(%2)"/>
      <w:numFmt w:val="lowerLetter"/>
      <w:start w:val="9"/>
    </w:lvl>
  </w:abstractNum>
  <w:abstractNum w:abstractNumId="206">
    <w:nsid w:val="2E5B12B8"/>
    <w:multiLevelType w:val="hybridMultilevel"/>
    <w:lvl w:ilvl="0">
      <w:lvlJc w:val="left"/>
      <w:lvlText w:val="%1."/>
      <w:numFmt w:val="decimal"/>
      <w:start w:val="9"/>
    </w:lvl>
    <w:lvl w:ilvl="1">
      <w:lvlJc w:val="left"/>
      <w:lvlText w:val="(%2)"/>
      <w:numFmt w:val="lowerLetter"/>
      <w:start w:val="1"/>
    </w:lvl>
  </w:abstractNum>
  <w:abstractNum w:abstractNumId="207">
    <w:nsid w:val="5C03D76D"/>
    <w:multiLevelType w:val="hybridMultilevel"/>
    <w:lvl w:ilvl="0">
      <w:lvlJc w:val="left"/>
      <w:lvlText w:val="%1"/>
      <w:numFmt w:val="decimal"/>
      <w:start w:val="18"/>
    </w:lvl>
  </w:abstractNum>
  <w:abstractNum w:abstractNumId="208">
    <w:nsid w:val="66A48D1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09">
    <w:nsid w:val="56C28E34"/>
    <w:multiLevelType w:val="hybridMultilevel"/>
    <w:lvl w:ilvl="0">
      <w:lvlJc w:val="left"/>
      <w:lvlText w:val="%1"/>
      <w:numFmt w:val="lowerRoman"/>
      <w:start w:val="1"/>
    </w:lvl>
    <w:lvl w:ilvl="1">
      <w:lvlJc w:val="left"/>
      <w:lvlText w:val="(%2)"/>
      <w:numFmt w:val="upperLetter"/>
      <w:start w:val="5"/>
    </w:lvl>
  </w:abstractNum>
  <w:abstractNum w:abstractNumId="210">
    <w:nsid w:val="13916F2D"/>
    <w:multiLevelType w:val="hybridMultilevel"/>
    <w:lvl w:ilvl="0">
      <w:lvlJc w:val="left"/>
      <w:lvlText w:val="(%1)"/>
      <w:numFmt w:val="lowerRoman"/>
      <w:start w:val="2"/>
    </w:lvl>
    <w:lvl w:ilvl="1">
      <w:lvlJc w:val="left"/>
      <w:lvlText w:val="%2"/>
      <w:numFmt w:val="upperLetter"/>
      <w:start w:val="1"/>
    </w:lvl>
  </w:abstractNum>
  <w:abstractNum w:abstractNumId="211">
    <w:nsid w:val="435D38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12">
    <w:nsid w:val="822C0EF"/>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13">
    <w:nsid w:val="57C5BB4F"/>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214">
    <w:nsid w:val="1803D089"/>
    <w:multiLevelType w:val="hybridMultilevel"/>
    <w:lvl w:ilvl="0">
      <w:lvlJc w:val="left"/>
      <w:lvlText w:val="%1"/>
      <w:numFmt w:val="lowerLetter"/>
      <w:start w:val="1"/>
    </w:lvl>
    <w:lvl w:ilvl="1">
      <w:lvlJc w:val="left"/>
      <w:lvlText w:val="(%2)"/>
      <w:numFmt w:val="lowerRoman"/>
      <w:start w:val="1"/>
    </w:lvl>
  </w:abstractNum>
  <w:abstractNum w:abstractNumId="215">
    <w:nsid w:val="4F3A06D4"/>
    <w:multiLevelType w:val="hybridMultilevel"/>
    <w:lvl w:ilvl="0">
      <w:lvlJc w:val="left"/>
      <w:lvlText w:val="(%1)"/>
      <w:numFmt w:val="lowerLetter"/>
      <w:start w:val="7"/>
    </w:lvl>
    <w:lvl w:ilvl="1">
      <w:lvlJc w:val="left"/>
      <w:lvlText w:val="(%2)"/>
      <w:numFmt w:val="lowerRoman"/>
      <w:start w:val="1"/>
    </w:lvl>
  </w:abstractNum>
  <w:abstractNum w:abstractNumId="216">
    <w:nsid w:val="59A377B6"/>
    <w:multiLevelType w:val="hybridMultilevel"/>
    <w:lvl w:ilvl="0">
      <w:lvlJc w:val="left"/>
      <w:lvlText w:val="%1"/>
      <w:numFmt w:val="lowerRoman"/>
      <w:start w:val="1"/>
    </w:lvl>
    <w:lvl w:ilvl="1">
      <w:lvlJc w:val="left"/>
      <w:lvlText w:val="(%2)"/>
      <w:numFmt w:val="lowerRoman"/>
      <w:start w:val="10"/>
    </w:lvl>
  </w:abstractNum>
  <w:abstractNum w:abstractNumId="217">
    <w:nsid w:val="48AEB063"/>
    <w:multiLevelType w:val="hybridMultilevel"/>
    <w:lvl w:ilvl="0">
      <w:lvlJc w:val="left"/>
      <w:lvlText w:val="(%1)"/>
      <w:numFmt w:val="lowerRoman"/>
      <w:start w:val="3"/>
    </w:lvl>
    <w:lvl w:ilvl="1">
      <w:lvlJc w:val="left"/>
      <w:lvlText w:val="%2"/>
      <w:numFmt w:val="lowerRoman"/>
      <w:start w:val="1"/>
    </w:lvl>
  </w:abstractNum>
  <w:abstractNum w:abstractNumId="218">
    <w:nsid w:val="24E135"/>
    <w:multiLevelType w:val="hybridMultilevel"/>
    <w:lvl w:ilvl="0">
      <w:lvlJc w:val="left"/>
      <w:lvlText w:val="%1"/>
      <w:numFmt w:val="decimal"/>
      <w:start w:val="21"/>
    </w:lvl>
  </w:abstractNum>
  <w:abstractNum w:abstractNumId="219">
    <w:nsid w:val="BB13C1"/>
    <w:multiLevelType w:val="hybridMultilevel"/>
    <w:lvl w:ilvl="0">
      <w:lvlJc w:val="left"/>
      <w:lvlText w:val="(%1)"/>
      <w:numFmt w:val="lowerLetter"/>
      <w:start w:val="10"/>
    </w:lvl>
  </w:abstractNum>
  <w:abstractNum w:abstractNumId="220">
    <w:nsid w:val="271210C7"/>
    <w:multiLevelType w:val="hybridMultilevel"/>
    <w:lvl w:ilvl="0">
      <w:lvlJc w:val="left"/>
      <w:lvlText w:val="%1"/>
      <w:numFmt w:val="decimal"/>
      <w:start w:val="23"/>
    </w:lvl>
  </w:abstractNum>
  <w:abstractNum w:abstractNumId="221">
    <w:nsid w:val="217B22E4"/>
    <w:multiLevelType w:val="hybridMultilevel"/>
    <w:lvl w:ilvl="0">
      <w:lvlJc w:val="left"/>
      <w:lvlText w:val="(%1)"/>
      <w:numFmt w:val="lowerLetter"/>
      <w:start w:val="11"/>
    </w:lvl>
  </w:abstractNum>
  <w:abstractNum w:abstractNumId="222">
    <w:nsid w:val="53E31A24"/>
    <w:multiLevelType w:val="hybridMultilevel"/>
    <w:lvl w:ilvl="0">
      <w:lvlJc w:val="left"/>
      <w:lvlText w:val="(%1)"/>
      <w:numFmt w:val="lowerLetter"/>
      <w:start w:val="13"/>
    </w:lvl>
  </w:abstractNum>
  <w:abstractNum w:abstractNumId="223">
    <w:nsid w:val="6DC45E83"/>
    <w:multiLevelType w:val="hybridMultilevel"/>
    <w:lvl w:ilvl="0">
      <w:lvlJc w:val="left"/>
      <w:lvlText w:val="(%1)"/>
      <w:numFmt w:val="lowerLetter"/>
      <w:start w:val="16"/>
    </w:lvl>
  </w:abstractNum>
  <w:abstractNum w:abstractNumId="224">
    <w:nsid w:val="17304A67"/>
    <w:multiLevelType w:val="hybridMultilevel"/>
    <w:lvl w:ilvl="0">
      <w:lvlJc w:val="left"/>
      <w:lvlText w:val="(%1)"/>
      <w:numFmt w:val="lowerRoman"/>
      <w:start w:val="1"/>
    </w:lvl>
  </w:abstractNum>
  <w:abstractNum w:abstractNumId="225">
    <w:nsid w:val="2BB180D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26">
    <w:nsid w:val="556B69ED"/>
    <w:multiLevelType w:val="hybridMultilevel"/>
    <w:lvl w:ilvl="0">
      <w:lvlJc w:val="left"/>
      <w:lvlText w:val="(%1)"/>
      <w:numFmt w:val="lowerLetter"/>
      <w:start w:val="20"/>
    </w:lvl>
    <w:lvl w:ilvl="1">
      <w:lvlJc w:val="left"/>
      <w:lvlText w:val="(%2)"/>
      <w:numFmt w:val="upperLetter"/>
      <w:start w:val="3"/>
    </w:lvl>
    <w:lvl w:ilvl="2">
      <w:lvlJc w:val="left"/>
      <w:lvlText w:val="%3"/>
      <w:numFmt w:val="lowerRoman"/>
      <w:start w:val="1"/>
    </w:lvl>
  </w:abstractNum>
  <w:abstractNum w:abstractNumId="227">
    <w:nsid w:val="70836196"/>
    <w:multiLevelType w:val="hybridMultilevel"/>
    <w:lvl w:ilvl="0">
      <w:lvlJc w:val="left"/>
      <w:lvlText w:val="%1"/>
      <w:numFmt w:val="decimal"/>
      <w:start w:val="24"/>
    </w:lvl>
  </w:abstractNum>
  <w:abstractNum w:abstractNumId="228">
    <w:nsid w:val="539F7F12"/>
    <w:multiLevelType w:val="hybridMultilevel"/>
    <w:lvl w:ilvl="0">
      <w:lvlJc w:val="left"/>
      <w:lvlText w:val="(%1)"/>
      <w:numFmt w:val="lowerLetter"/>
      <w:start w:val="23"/>
    </w:lvl>
    <w:lvl w:ilvl="1">
      <w:lvlJc w:val="left"/>
      <w:lvlText w:val="(%2)"/>
      <w:numFmt w:val="lowerLetter"/>
      <w:start w:val="26"/>
    </w:lvl>
  </w:abstractNum>
  <w:abstractNum w:abstractNumId="229">
    <w:nsid w:val="2817E7EC"/>
    <w:multiLevelType w:val="hybridMultilevel"/>
    <w:lvl w:ilvl="0">
      <w:lvlJc w:val="left"/>
      <w:lvlText w:val="%1"/>
      <w:numFmt w:val="decimal"/>
      <w:start w:val="26"/>
    </w:lvl>
  </w:abstractNum>
  <w:abstractNum w:abstractNumId="230">
    <w:nsid w:val="71482545"/>
    <w:multiLevelType w:val="hybridMultilevel"/>
    <w:lvl w:ilvl="0">
      <w:lvlJc w:val="left"/>
      <w:lvlText w:val="%1."/>
      <w:numFmt w:val="decimal"/>
      <w:start w:val="1"/>
    </w:lvl>
  </w:abstractNum>
  <w:abstractNum w:abstractNumId="231">
    <w:nsid w:val="17D78639"/>
    <w:multiLevelType w:val="hybridMultilevel"/>
    <w:lvl w:ilvl="0">
      <w:lvlJc w:val="left"/>
      <w:lvlText w:val="1"/>
      <w:numFmt w:val="bullet"/>
      <w:start w:val="1"/>
    </w:lvl>
  </w:abstractNum>
  <w:abstractNum w:abstractNumId="232">
    <w:nsid w:val="141D2302"/>
    <w:multiLevelType w:val="hybridMultilevel"/>
    <w:lvl w:ilvl="0">
      <w:lvlJc w:val="left"/>
      <w:lvlText w:val="2"/>
      <w:numFmt w:val="bullet"/>
      <w:start w:val="1"/>
    </w:lvl>
  </w:abstractNum>
  <w:abstractNum w:abstractNumId="233">
    <w:nsid w:val="407168D8"/>
    <w:multiLevelType w:val="hybridMultilevel"/>
    <w:lvl w:ilvl="0">
      <w:lvlJc w:val="left"/>
      <w:lvlText w:val="3"/>
      <w:numFmt w:val="bullet"/>
      <w:start w:val="1"/>
    </w:lvl>
  </w:abstractNum>
  <w:abstractNum w:abstractNumId="234">
    <w:nsid w:val="6A1B45E5"/>
    <w:multiLevelType w:val="hybridMultilevel"/>
    <w:lvl w:ilvl="0">
      <w:lvlJc w:val="left"/>
      <w:lvlText w:val="4"/>
      <w:numFmt w:val="bullet"/>
      <w:start w:val="1"/>
    </w:lvl>
  </w:abstractNum>
  <w:abstractNum w:abstractNumId="235">
    <w:nsid w:val="567BD50A"/>
    <w:multiLevelType w:val="hybridMultilevel"/>
    <w:lvl w:ilvl="0">
      <w:lvlJc w:val="left"/>
      <w:lvlText w:val="5"/>
      <w:numFmt w:val="bullet"/>
      <w:start w:val="1"/>
    </w:lvl>
  </w:abstractNum>
  <w:abstractNum w:abstractNumId="236">
    <w:nsid w:val="73BBD7F8"/>
    <w:multiLevelType w:val="hybridMultilevel"/>
    <w:lvl w:ilvl="0">
      <w:lvlJc w:val="left"/>
      <w:lvlText w:val="%1."/>
      <w:numFmt w:val="decimal"/>
      <w:start w:val="3"/>
    </w:lvl>
  </w:abstractNum>
  <w:abstractNum w:abstractNumId="237">
    <w:nsid w:val="1876589D"/>
    <w:multiLevelType w:val="hybridMultilevel"/>
    <w:lvl w:ilvl="0">
      <w:lvlJc w:val="left"/>
      <w:lvlText w:val="%1."/>
      <w:numFmt w:val="decimal"/>
      <w:start w:val="5"/>
    </w:lvl>
    <w:lvl w:ilvl="1">
      <w:lvlJc w:val="left"/>
      <w:lvlText w:val="(%2)"/>
      <w:numFmt w:val="lowerLetter"/>
      <w:start w:val="1"/>
    </w:lvl>
  </w:abstractNum>
  <w:abstractNum w:abstractNumId="238">
    <w:nsid w:val="327FAC77"/>
    <w:multiLevelType w:val="hybridMultilevel"/>
    <w:lvl w:ilvl="0">
      <w:lvlJc w:val="left"/>
      <w:lvlText w:val="(%1)"/>
      <w:numFmt w:val="lowerLetter"/>
      <w:start w:val="2"/>
    </w:lvl>
  </w:abstractNum>
  <w:abstractNum w:abstractNumId="239">
    <w:nsid w:val="5A606509"/>
    <w:multiLevelType w:val="hybridMultilevel"/>
    <w:lvl w:ilvl="0">
      <w:lvlJc w:val="left"/>
      <w:lvlText w:val="%1."/>
      <w:numFmt w:val="decimal"/>
      <w:start w:val="6"/>
    </w:lvl>
    <w:lvl w:ilvl="1">
      <w:lvlJc w:val="left"/>
      <w:lvlText w:val="(%2)"/>
      <w:numFmt w:val="lowerLetter"/>
      <w:start w:val="1"/>
    </w:lvl>
  </w:abstractNum>
  <w:abstractNum w:abstractNumId="240">
    <w:nsid w:val="6F38E6D1"/>
    <w:multiLevelType w:val="hybridMultilevel"/>
    <w:lvl w:ilvl="0">
      <w:lvlJc w:val="left"/>
      <w:lvlText w:val="(%1)"/>
      <w:numFmt w:val="lowerLetter"/>
      <w:start w:val="2"/>
    </w:lvl>
  </w:abstractNum>
  <w:abstractNum w:abstractNumId="241">
    <w:nsid w:val="46111BA5"/>
    <w:multiLevelType w:val="hybridMultilevel"/>
    <w:lvl w:ilvl="0">
      <w:lvlJc w:val="left"/>
      <w:lvlText w:val="%1."/>
      <w:numFmt w:val="decimal"/>
      <w:start w:val="8"/>
    </w:lvl>
    <w:lvl w:ilvl="1">
      <w:lvlJc w:val="left"/>
      <w:lvlText w:val="(%2)"/>
      <w:numFmt w:val="lowerLetter"/>
      <w:start w:val="1"/>
    </w:lvl>
  </w:abstractNum>
  <w:abstractNum w:abstractNumId="242">
    <w:nsid w:val="5E963896"/>
    <w:multiLevelType w:val="hybridMultilevel"/>
    <w:lvl w:ilvl="0">
      <w:lvlJc w:val="left"/>
      <w:lvlText w:val="%1"/>
      <w:numFmt w:val="decimal"/>
      <w:start w:val="1"/>
    </w:lvl>
    <w:lvl w:ilvl="1">
      <w:lvlJc w:val="left"/>
      <w:lvlText w:val="(%2)"/>
      <w:numFmt w:val="lowerLetter"/>
      <w:start w:val="3"/>
    </w:lvl>
  </w:abstractNum>
  <w:abstractNum w:abstractNumId="243">
    <w:nsid w:val="775BA7C1"/>
    <w:multiLevelType w:val="hybridMultilevel"/>
    <w:lvl w:ilvl="0">
      <w:lvlJc w:val="left"/>
      <w:lvlText w:val="%1."/>
      <w:numFmt w:val="decimal"/>
      <w:start w:val="9"/>
    </w:lvl>
    <w:lvl w:ilvl="1">
      <w:lvlJc w:val="left"/>
      <w:lvlText w:val="(%2)"/>
      <w:numFmt w:val="lowerLetter"/>
      <w:start w:val="1"/>
    </w:lvl>
  </w:abstractNum>
  <w:abstractNum w:abstractNumId="244">
    <w:nsid w:val="1DD6D6F4"/>
    <w:multiLevelType w:val="hybridMultilevel"/>
    <w:lvl w:ilvl="0">
      <w:lvlJc w:val="left"/>
      <w:lvlText w:val="6"/>
      <w:numFmt w:val="bullet"/>
      <w:start w:val="1"/>
    </w:lvl>
  </w:abstractNum>
  <w:abstractNum w:abstractNumId="245">
    <w:nsid w:val="769A091F"/>
    <w:multiLevelType w:val="hybridMultilevel"/>
    <w:lvl w:ilvl="0">
      <w:lvlJc w:val="left"/>
      <w:lvlText w:val="(%1)"/>
      <w:numFmt w:val="lowerLetter"/>
      <w:start w:val="2"/>
    </w:lvl>
  </w:abstractNum>
  <w:abstractNum w:abstractNumId="246">
    <w:nsid w:val="4695AE95"/>
    <w:multiLevelType w:val="hybridMultilevel"/>
    <w:lvl w:ilvl="0">
      <w:lvlJc w:val="left"/>
      <w:lvlText w:val="7"/>
      <w:numFmt w:val="bullet"/>
      <w:start w:val="1"/>
    </w:lvl>
  </w:abstractNum>
  <w:abstractNum w:abstractNumId="247">
    <w:nsid w:val="777A4EAA"/>
    <w:multiLevelType w:val="hybridMultilevel"/>
    <w:lvl w:ilvl="0">
      <w:lvlJc w:val="left"/>
      <w:lvlText w:val="8"/>
      <w:numFmt w:val="bullet"/>
      <w:start w:val="1"/>
    </w:lvl>
  </w:abstractNum>
  <w:abstractNum w:abstractNumId="248">
    <w:nsid w:val="3F48B982"/>
    <w:multiLevelType w:val="hybridMultilevel"/>
    <w:lvl w:ilvl="0">
      <w:lvlJc w:val="left"/>
      <w:lvlText w:val="(%1)"/>
      <w:numFmt w:val="lowerLetter"/>
      <w:start w:val="4"/>
    </w:lvl>
  </w:abstractNum>
  <w:abstractNum w:abstractNumId="249">
    <w:nsid w:val="46BA8FCA"/>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lvl w:ilvl="3">
      <w:lvlJc w:val="left"/>
      <w:lvlText w:val="(%4)"/>
      <w:numFmt w:val="lowerLetter"/>
      <w:start w:val="25"/>
    </w:lvl>
  </w:abstractNum>
  <w:abstractNum w:abstractNumId="250">
    <w:nsid w:val="7835626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24"/>
    </w:lvl>
  </w:abstractNum>
  <w:abstractNum w:abstractNumId="251">
    <w:nsid w:val="665ACA49"/>
    <w:multiLevelType w:val="hybridMultilevel"/>
    <w:lvl w:ilvl="0">
      <w:lvlJc w:val="left"/>
      <w:lvlText w:val="%1"/>
      <w:numFmt w:val="lowerLetter"/>
      <w:start w:val="1"/>
    </w:lvl>
    <w:lvl w:ilvl="1">
      <w:lvlJc w:val="left"/>
      <w:lvlText w:val="(%2)"/>
      <w:numFmt w:val="upperLetter"/>
      <w:start w:val="5"/>
    </w:lvl>
    <w:lvl w:ilvl="2">
      <w:lvlJc w:val="left"/>
      <w:lvlText w:val="(%3)"/>
      <w:numFmt w:val="lowerLetter"/>
      <w:start w:val="24"/>
    </w:lvl>
  </w:abstractNum>
  <w:abstractNum w:abstractNumId="252">
    <w:nsid w:val="6835B2A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253">
    <w:nsid w:val="4C187C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254">
    <w:nsid w:val="541F28CD"/>
    <w:multiLevelType w:val="hybridMultilevel"/>
    <w:lvl w:ilvl="0">
      <w:lvlJc w:val="left"/>
      <w:lvlText w:val="(%1)"/>
      <w:numFmt w:val="lowerLetter"/>
      <w:start w:val="10"/>
    </w:lvl>
    <w:lvl w:ilvl="1">
      <w:lvlJc w:val="left"/>
      <w:lvlText w:val="(%2)"/>
      <w:numFmt w:val="lowerLetter"/>
      <w:start w:val="9"/>
    </w:lvl>
    <w:lvl w:ilvl="2">
      <w:lvlJc w:val="left"/>
      <w:lvlText w:val="(%3)"/>
      <w:numFmt w:val="lowerLetter"/>
      <w:start w:val="2"/>
    </w:lvl>
    <w:lvl w:ilvl="3">
      <w:lvlJc w:val="left"/>
      <w:lvlText w:val="%4"/>
      <w:numFmt w:val="upperLetter"/>
      <w:start w:val="1"/>
    </w:lvl>
  </w:abstractNum>
  <w:abstractNum w:abstractNumId="255">
    <w:nsid w:val="7F65FD16"/>
    <w:multiLevelType w:val="hybridMultilevel"/>
    <w:lvl w:ilvl="0">
      <w:lvlJc w:val="left"/>
      <w:lvlText w:val="(%1)"/>
      <w:numFmt w:val="lowerLetter"/>
      <w:start w:val="12"/>
    </w:lvl>
  </w:abstractNum>
  <w:abstractNum w:abstractNumId="256">
    <w:nsid w:val="77C9FD68"/>
    <w:multiLevelType w:val="hybridMultilevel"/>
    <w:lvl w:ilvl="0">
      <w:lvlJc w:val="left"/>
      <w:lvlText w:val="(%1)"/>
      <w:numFmt w:val="lowerRoman"/>
      <w:start w:val="1"/>
    </w:lvl>
  </w:abstractNum>
  <w:abstractNum w:abstractNumId="257">
    <w:nsid w:val="298A92B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58">
    <w:nsid w:val="6FE95EAC"/>
    <w:multiLevelType w:val="hybridMultilevel"/>
    <w:lvl w:ilvl="0">
      <w:lvlJc w:val="left"/>
      <w:lvlText w:val="(%1)"/>
      <w:numFmt w:val="lowerLetter"/>
      <w:start w:val="13"/>
    </w:lvl>
    <w:lvl w:ilvl="1">
      <w:lvlJc w:val="left"/>
      <w:lvlText w:val="(%2)"/>
      <w:numFmt w:val="lowerLetter"/>
      <w:start w:val="35"/>
    </w:lvl>
    <w:lvl w:ilvl="2">
      <w:lvlJc w:val="left"/>
      <w:lvlText w:val="%3"/>
      <w:numFmt w:val="lowerLetter"/>
      <w:start w:val="1"/>
    </w:lvl>
  </w:abstractNum>
  <w:abstractNum w:abstractNumId="259">
    <w:nsid w:val="4B697C7A"/>
    <w:multiLevelType w:val="hybridMultilevel"/>
    <w:lvl w:ilvl="0">
      <w:lvlJc w:val="left"/>
      <w:lvlText w:val="9"/>
      <w:numFmt w:val="bullet"/>
      <w:start w:val="1"/>
    </w:lvl>
  </w:abstractNum>
  <w:abstractNum w:abstractNumId="260">
    <w:nsid w:val="51A27AA6"/>
    <w:multiLevelType w:val="hybridMultilevel"/>
    <w:lvl w:ilvl="0">
      <w:lvlJc w:val="left"/>
      <w:lvlText w:val="%1"/>
      <w:numFmt w:val="decimal"/>
      <w:start w:val="10"/>
    </w:lvl>
  </w:abstractNum>
  <w:abstractNum w:abstractNumId="261">
    <w:nsid w:val="613183F2"/>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2"/>
    </w:lvl>
  </w:abstractNum>
  <w:abstractNum w:abstractNumId="262">
    <w:nsid w:val="634102B4"/>
    <w:multiLevelType w:val="hybridMultilevel"/>
    <w:lvl w:ilvl="0">
      <w:lvlJc w:val="left"/>
      <w:lvlText w:val="(%1)"/>
      <w:numFmt w:val="lowerLetter"/>
      <w:start w:val="18"/>
    </w:lvl>
  </w:abstractNum>
  <w:abstractNum w:abstractNumId="263">
    <w:nsid w:val="65BF9DA8"/>
    <w:multiLevelType w:val="hybridMultilevel"/>
    <w:lvl w:ilvl="0">
      <w:lvlJc w:val="left"/>
      <w:lvlText w:val="(%1)"/>
      <w:numFmt w:val="lowerLetter"/>
      <w:start w:val="22"/>
    </w:lvl>
  </w:abstractNum>
  <w:abstractNum w:abstractNumId="264">
    <w:nsid w:val="21A2ECCA"/>
    <w:multiLevelType w:val="hybridMultilevel"/>
    <w:lvl w:ilvl="0">
      <w:lvlJc w:val="left"/>
      <w:lvlText w:val="(%1)"/>
      <w:numFmt w:val="lowerLetter"/>
      <w:start w:val="27"/>
    </w:lvl>
  </w:abstractNum>
  <w:abstractNum w:abstractNumId="265">
    <w:nsid w:val="4D5C489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2026-05-22T16:27:02Z</dcterms:created>
  <dcterms:modified xsi:type="dcterms:W3CDTF">2026-05-22T16:27:02Z</dcterms:modified>
</cp:coreProperties>
</file>